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62B" w:rsidRPr="00633149" w:rsidRDefault="0056562B" w:rsidP="00520880">
      <w:pPr>
        <w:rPr>
          <w:rFonts w:ascii="Arial" w:hAnsi="Arial" w:cs="Arial"/>
          <w:b/>
          <w:sz w:val="28"/>
          <w:szCs w:val="28"/>
          <w:lang w:val="es-CR"/>
        </w:rPr>
      </w:pPr>
    </w:p>
    <w:p w:rsidR="0056562B" w:rsidRPr="00633149" w:rsidRDefault="0056562B" w:rsidP="0056562B">
      <w:pPr>
        <w:jc w:val="center"/>
        <w:rPr>
          <w:rFonts w:ascii="Arial" w:hAnsi="Arial" w:cs="Arial"/>
          <w:b/>
          <w:sz w:val="28"/>
          <w:szCs w:val="28"/>
          <w:lang w:val="es-CR"/>
        </w:rPr>
      </w:pPr>
      <w:r w:rsidRPr="00633149">
        <w:rPr>
          <w:rFonts w:ascii="Arial" w:hAnsi="Arial" w:cs="Arial"/>
          <w:b/>
          <w:sz w:val="28"/>
          <w:szCs w:val="28"/>
          <w:lang w:val="es-CR"/>
        </w:rPr>
        <w:t>DIEM-INF-004-20</w:t>
      </w:r>
    </w:p>
    <w:p w:rsidR="0056562B" w:rsidRPr="00633149" w:rsidRDefault="0056562B" w:rsidP="0056562B">
      <w:pPr>
        <w:jc w:val="center"/>
        <w:rPr>
          <w:rFonts w:ascii="Arial" w:hAnsi="Arial" w:cs="Arial"/>
          <w:sz w:val="28"/>
          <w:szCs w:val="28"/>
          <w:lang w:val="es-CR"/>
        </w:rPr>
      </w:pPr>
    </w:p>
    <w:p w:rsidR="0056562B" w:rsidRPr="00633149" w:rsidRDefault="0056562B" w:rsidP="00520880">
      <w:pPr>
        <w:rPr>
          <w:rFonts w:ascii="Arial" w:hAnsi="Arial" w:cs="Arial"/>
          <w:sz w:val="28"/>
          <w:szCs w:val="28"/>
          <w:lang w:val="es-CR"/>
        </w:rPr>
      </w:pPr>
    </w:p>
    <w:p w:rsidR="0056562B" w:rsidRPr="00633149" w:rsidRDefault="0056562B" w:rsidP="0056562B">
      <w:pPr>
        <w:jc w:val="center"/>
        <w:rPr>
          <w:rFonts w:ascii="Arial" w:hAnsi="Arial" w:cs="Arial"/>
          <w:sz w:val="28"/>
          <w:szCs w:val="28"/>
          <w:lang w:val="es-CR"/>
        </w:rPr>
      </w:pPr>
      <w:r w:rsidRPr="00633149">
        <w:rPr>
          <w:rFonts w:ascii="Arial" w:hAnsi="Arial" w:cs="Arial"/>
          <w:sz w:val="28"/>
          <w:szCs w:val="28"/>
          <w:lang w:val="es-CR"/>
        </w:rPr>
        <w:t>Versión pública</w:t>
      </w:r>
    </w:p>
    <w:p w:rsidR="0056562B" w:rsidRPr="00633149" w:rsidRDefault="0056562B" w:rsidP="00520880">
      <w:pPr>
        <w:rPr>
          <w:rFonts w:ascii="Arial" w:hAnsi="Arial" w:cs="Arial"/>
          <w:b/>
          <w:sz w:val="28"/>
          <w:szCs w:val="28"/>
          <w:lang w:val="es-CR"/>
        </w:rPr>
      </w:pPr>
    </w:p>
    <w:p w:rsidR="0056562B" w:rsidRPr="00633149" w:rsidRDefault="0056562B" w:rsidP="0056562B">
      <w:pPr>
        <w:jc w:val="center"/>
        <w:rPr>
          <w:rFonts w:ascii="Arial" w:hAnsi="Arial" w:cs="Arial"/>
          <w:b/>
          <w:sz w:val="28"/>
          <w:szCs w:val="28"/>
          <w:lang w:val="es-CR"/>
        </w:rPr>
      </w:pPr>
    </w:p>
    <w:p w:rsidR="0056562B" w:rsidRPr="00633149" w:rsidRDefault="0056562B" w:rsidP="0056562B">
      <w:pPr>
        <w:jc w:val="center"/>
        <w:rPr>
          <w:rFonts w:ascii="Arial" w:hAnsi="Arial" w:cs="Arial"/>
          <w:b/>
          <w:sz w:val="28"/>
          <w:szCs w:val="28"/>
          <w:lang w:val="es-CR"/>
        </w:rPr>
      </w:pPr>
      <w:r w:rsidRPr="00633149">
        <w:rPr>
          <w:rFonts w:ascii="Arial" w:hAnsi="Arial" w:cs="Arial"/>
          <w:b/>
          <w:sz w:val="28"/>
          <w:szCs w:val="28"/>
          <w:lang w:val="es-CR"/>
        </w:rPr>
        <w:t>Dirección de Investigaciones Económicas y de Mercados (DIEM)</w:t>
      </w:r>
    </w:p>
    <w:p w:rsidR="0056562B" w:rsidRPr="00633149" w:rsidRDefault="0056562B" w:rsidP="0056562B">
      <w:pPr>
        <w:rPr>
          <w:rFonts w:ascii="Arial" w:hAnsi="Arial" w:cs="Arial"/>
          <w:sz w:val="28"/>
          <w:szCs w:val="28"/>
          <w:lang w:val="es-CR"/>
        </w:rPr>
      </w:pPr>
      <w:r w:rsidRPr="00633149">
        <w:rPr>
          <w:rFonts w:ascii="Arial" w:hAnsi="Arial" w:cs="Arial"/>
          <w:sz w:val="28"/>
          <w:szCs w:val="28"/>
          <w:lang w:val="es-CR"/>
        </w:rPr>
        <w:t xml:space="preserve">   </w:t>
      </w:r>
    </w:p>
    <w:p w:rsidR="0056562B" w:rsidRPr="00633149" w:rsidRDefault="0056562B" w:rsidP="0056562B">
      <w:pPr>
        <w:rPr>
          <w:rFonts w:ascii="Arial" w:hAnsi="Arial" w:cs="Arial"/>
          <w:sz w:val="28"/>
          <w:szCs w:val="28"/>
          <w:lang w:val="es-CR"/>
        </w:rPr>
      </w:pPr>
    </w:p>
    <w:p w:rsidR="0056562B" w:rsidRPr="00633149" w:rsidRDefault="0056562B" w:rsidP="0056562B">
      <w:pPr>
        <w:jc w:val="center"/>
        <w:rPr>
          <w:rFonts w:ascii="Arial" w:hAnsi="Arial" w:cs="Arial"/>
          <w:b/>
          <w:sz w:val="28"/>
          <w:szCs w:val="28"/>
          <w:lang w:val="es-CR"/>
        </w:rPr>
      </w:pPr>
      <w:r w:rsidRPr="00633149">
        <w:rPr>
          <w:rFonts w:ascii="Arial" w:hAnsi="Arial" w:cs="Arial"/>
          <w:b/>
          <w:sz w:val="28"/>
          <w:szCs w:val="28"/>
          <w:lang w:val="es-CR"/>
        </w:rPr>
        <w:t>Estudio de mercado de la fruta de palma aceitera</w:t>
      </w:r>
    </w:p>
    <w:p w:rsidR="0056562B" w:rsidRPr="00633149" w:rsidRDefault="0056562B" w:rsidP="0056562B">
      <w:pPr>
        <w:rPr>
          <w:rFonts w:ascii="Arial" w:hAnsi="Arial" w:cs="Arial"/>
          <w:b/>
          <w:sz w:val="28"/>
          <w:szCs w:val="28"/>
          <w:u w:val="single"/>
          <w:lang w:val="es-CR"/>
        </w:rPr>
      </w:pPr>
    </w:p>
    <w:p w:rsidR="0056562B" w:rsidRPr="00633149" w:rsidRDefault="0056562B" w:rsidP="0056562B">
      <w:pPr>
        <w:jc w:val="center"/>
        <w:rPr>
          <w:rFonts w:ascii="Arial" w:hAnsi="Arial" w:cs="Arial"/>
          <w:sz w:val="28"/>
          <w:szCs w:val="28"/>
          <w:lang w:val="es-CR"/>
        </w:rPr>
      </w:pPr>
    </w:p>
    <w:p w:rsidR="0056562B" w:rsidRPr="00633149" w:rsidRDefault="00520880" w:rsidP="0056562B">
      <w:pPr>
        <w:jc w:val="center"/>
        <w:rPr>
          <w:rFonts w:ascii="Arial" w:hAnsi="Arial" w:cs="Arial"/>
          <w:sz w:val="28"/>
          <w:szCs w:val="28"/>
          <w:lang w:val="es-CR"/>
        </w:rPr>
      </w:pPr>
      <w:r w:rsidRPr="00633149">
        <w:rPr>
          <w:noProof/>
          <w:lang w:val="es-CR" w:eastAsia="es-CR"/>
        </w:rPr>
        <w:drawing>
          <wp:inline distT="0" distB="0" distL="0" distR="0" wp14:anchorId="6EC59086" wp14:editId="2C46699B">
            <wp:extent cx="1598055" cy="1118562"/>
            <wp:effectExtent l="0" t="0" r="2540" b="5715"/>
            <wp:docPr id="10" name="Imagen 10" descr="Resultado de imagen para vector palma acei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ector palma aceite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96" cy="1140569"/>
                    </a:xfrm>
                    <a:prstGeom prst="rect">
                      <a:avLst/>
                    </a:prstGeom>
                    <a:noFill/>
                    <a:ln>
                      <a:noFill/>
                    </a:ln>
                  </pic:spPr>
                </pic:pic>
              </a:graphicData>
            </a:graphic>
          </wp:inline>
        </w:drawing>
      </w:r>
    </w:p>
    <w:p w:rsidR="0056562B" w:rsidRPr="00633149" w:rsidRDefault="0056562B" w:rsidP="0056562B">
      <w:pPr>
        <w:jc w:val="center"/>
        <w:rPr>
          <w:rFonts w:ascii="Arial" w:hAnsi="Arial" w:cs="Arial"/>
          <w:b/>
          <w:sz w:val="28"/>
          <w:szCs w:val="28"/>
          <w:lang w:val="es-CR"/>
        </w:rPr>
      </w:pPr>
    </w:p>
    <w:p w:rsidR="0056562B" w:rsidRPr="00633149" w:rsidRDefault="0056562B" w:rsidP="0056562B">
      <w:pPr>
        <w:jc w:val="center"/>
        <w:rPr>
          <w:rFonts w:ascii="Arial" w:hAnsi="Arial" w:cs="Arial"/>
          <w:b/>
          <w:sz w:val="28"/>
          <w:szCs w:val="28"/>
          <w:lang w:val="es-CR"/>
        </w:rPr>
      </w:pPr>
    </w:p>
    <w:p w:rsidR="0056562B" w:rsidRPr="00633149" w:rsidRDefault="0056562B" w:rsidP="0056562B">
      <w:pPr>
        <w:jc w:val="center"/>
        <w:rPr>
          <w:rFonts w:ascii="Arial" w:hAnsi="Arial" w:cs="Arial"/>
          <w:b/>
          <w:sz w:val="28"/>
          <w:szCs w:val="28"/>
          <w:lang w:val="es-CR"/>
        </w:rPr>
      </w:pPr>
      <w:r w:rsidRPr="00633149">
        <w:rPr>
          <w:rFonts w:ascii="Arial" w:hAnsi="Arial" w:cs="Arial"/>
          <w:b/>
          <w:sz w:val="28"/>
          <w:szCs w:val="28"/>
          <w:lang w:val="es-CR"/>
        </w:rPr>
        <w:t>Elaborado por:</w:t>
      </w:r>
    </w:p>
    <w:p w:rsidR="0056562B" w:rsidRPr="00633149" w:rsidRDefault="0056562B" w:rsidP="0056562B">
      <w:pPr>
        <w:pStyle w:val="Sinespaciado"/>
        <w:rPr>
          <w:lang w:val="es-CR"/>
        </w:rPr>
      </w:pPr>
    </w:p>
    <w:p w:rsidR="0056562B" w:rsidRPr="00633149" w:rsidRDefault="0056562B" w:rsidP="0056562B">
      <w:pPr>
        <w:jc w:val="center"/>
        <w:rPr>
          <w:rFonts w:ascii="Arial" w:hAnsi="Arial" w:cs="Arial"/>
          <w:sz w:val="28"/>
          <w:szCs w:val="28"/>
          <w:lang w:val="es-CR"/>
        </w:rPr>
      </w:pPr>
      <w:r w:rsidRPr="00633149">
        <w:rPr>
          <w:rFonts w:ascii="Arial" w:hAnsi="Arial" w:cs="Arial"/>
          <w:sz w:val="28"/>
          <w:szCs w:val="28"/>
          <w:lang w:val="es-CR"/>
        </w:rPr>
        <w:t>Luisiana Porras Alvarado</w:t>
      </w:r>
    </w:p>
    <w:p w:rsidR="0056562B" w:rsidRPr="00633149" w:rsidRDefault="0056562B" w:rsidP="0056562B">
      <w:pPr>
        <w:jc w:val="center"/>
        <w:rPr>
          <w:rFonts w:ascii="Arial" w:hAnsi="Arial" w:cs="Arial"/>
          <w:sz w:val="28"/>
          <w:szCs w:val="28"/>
          <w:lang w:val="es-CR"/>
        </w:rPr>
      </w:pPr>
    </w:p>
    <w:p w:rsidR="0056562B" w:rsidRPr="00633149" w:rsidRDefault="0056562B" w:rsidP="0056562B">
      <w:pPr>
        <w:rPr>
          <w:rFonts w:ascii="Arial" w:hAnsi="Arial" w:cs="Arial"/>
          <w:b/>
          <w:sz w:val="28"/>
          <w:szCs w:val="28"/>
          <w:lang w:val="es-CR"/>
        </w:rPr>
      </w:pPr>
    </w:p>
    <w:p w:rsidR="0056562B" w:rsidRDefault="0056562B" w:rsidP="0056562B">
      <w:pPr>
        <w:jc w:val="center"/>
        <w:rPr>
          <w:rFonts w:ascii="Arial" w:hAnsi="Arial" w:cs="Arial"/>
          <w:b/>
          <w:sz w:val="28"/>
          <w:szCs w:val="28"/>
          <w:lang w:val="es-CR"/>
        </w:rPr>
      </w:pPr>
      <w:r w:rsidRPr="00633149">
        <w:rPr>
          <w:rFonts w:ascii="Arial" w:hAnsi="Arial" w:cs="Arial"/>
          <w:b/>
          <w:sz w:val="28"/>
          <w:szCs w:val="28"/>
          <w:lang w:val="es-CR"/>
        </w:rPr>
        <w:t>Revisado por:</w:t>
      </w:r>
    </w:p>
    <w:p w:rsidR="00E40E41" w:rsidRDefault="00E40E41" w:rsidP="0056562B">
      <w:pPr>
        <w:jc w:val="center"/>
        <w:rPr>
          <w:rFonts w:ascii="Arial" w:hAnsi="Arial" w:cs="Arial"/>
          <w:b/>
          <w:sz w:val="28"/>
          <w:szCs w:val="28"/>
          <w:lang w:val="es-CR"/>
        </w:rPr>
      </w:pPr>
    </w:p>
    <w:p w:rsidR="00E40E41" w:rsidRPr="00520880" w:rsidRDefault="00E40E41" w:rsidP="0056562B">
      <w:pPr>
        <w:jc w:val="center"/>
        <w:rPr>
          <w:rFonts w:ascii="Arial" w:hAnsi="Arial" w:cs="Arial"/>
          <w:sz w:val="28"/>
          <w:szCs w:val="28"/>
          <w:lang w:val="es-CR"/>
        </w:rPr>
      </w:pPr>
      <w:r w:rsidRPr="00520880">
        <w:rPr>
          <w:rFonts w:ascii="Arial" w:hAnsi="Arial" w:cs="Arial"/>
          <w:sz w:val="28"/>
          <w:szCs w:val="28"/>
          <w:lang w:val="es-CR"/>
        </w:rPr>
        <w:t>Roberto Vargas</w:t>
      </w:r>
      <w:r w:rsidR="00520880">
        <w:rPr>
          <w:rFonts w:ascii="Arial" w:hAnsi="Arial" w:cs="Arial"/>
          <w:sz w:val="28"/>
          <w:szCs w:val="28"/>
          <w:lang w:val="es-CR"/>
        </w:rPr>
        <w:t xml:space="preserve"> Martínez</w:t>
      </w:r>
    </w:p>
    <w:p w:rsidR="0056562B" w:rsidRPr="00633149" w:rsidRDefault="0056562B" w:rsidP="0056562B">
      <w:pPr>
        <w:pStyle w:val="Sinespaciado"/>
        <w:rPr>
          <w:lang w:val="es-CR"/>
        </w:rPr>
      </w:pPr>
    </w:p>
    <w:p w:rsidR="0056562B" w:rsidRPr="00633149" w:rsidRDefault="00FC403A" w:rsidP="0056562B">
      <w:pPr>
        <w:jc w:val="center"/>
        <w:rPr>
          <w:rFonts w:ascii="Arial" w:hAnsi="Arial" w:cs="Arial"/>
          <w:sz w:val="28"/>
          <w:szCs w:val="28"/>
          <w:lang w:val="es-CR"/>
        </w:rPr>
      </w:pPr>
      <w:r>
        <w:rPr>
          <w:rFonts w:ascii="Arial" w:hAnsi="Arial" w:cs="Arial"/>
          <w:sz w:val="28"/>
          <w:szCs w:val="28"/>
          <w:lang w:val="es-CR"/>
        </w:rPr>
        <w:t>Luis Guillermo Brenes Soto</w:t>
      </w:r>
    </w:p>
    <w:p w:rsidR="0056562B" w:rsidRPr="00633149" w:rsidRDefault="0056562B" w:rsidP="0056562B">
      <w:pPr>
        <w:rPr>
          <w:rFonts w:ascii="Arial" w:hAnsi="Arial" w:cs="Arial"/>
          <w:b/>
          <w:sz w:val="28"/>
          <w:szCs w:val="28"/>
          <w:lang w:val="es-CR"/>
        </w:rPr>
      </w:pPr>
    </w:p>
    <w:p w:rsidR="00520880" w:rsidRDefault="00520880" w:rsidP="00246F47">
      <w:pPr>
        <w:jc w:val="center"/>
        <w:rPr>
          <w:rFonts w:ascii="Arial" w:hAnsi="Arial" w:cs="Arial"/>
          <w:sz w:val="28"/>
          <w:szCs w:val="28"/>
          <w:lang w:val="es-CR"/>
        </w:rPr>
      </w:pPr>
    </w:p>
    <w:p w:rsidR="0056562B" w:rsidRDefault="0056562B" w:rsidP="00246F47">
      <w:pPr>
        <w:jc w:val="center"/>
        <w:rPr>
          <w:rFonts w:ascii="Arial" w:hAnsi="Arial" w:cs="Arial"/>
          <w:lang w:val="es-CR"/>
        </w:rPr>
      </w:pPr>
      <w:r w:rsidRPr="00633149">
        <w:rPr>
          <w:rFonts w:ascii="Arial" w:hAnsi="Arial" w:cs="Arial"/>
          <w:sz w:val="28"/>
          <w:szCs w:val="28"/>
          <w:lang w:val="es-CR"/>
        </w:rPr>
        <w:t xml:space="preserve">Fecha: </w:t>
      </w:r>
      <w:r w:rsidR="00FC403A">
        <w:rPr>
          <w:rFonts w:ascii="Arial" w:hAnsi="Arial" w:cs="Arial"/>
          <w:sz w:val="28"/>
          <w:szCs w:val="28"/>
          <w:lang w:val="es-CR"/>
        </w:rPr>
        <w:t>8</w:t>
      </w:r>
      <w:r w:rsidRPr="00633149">
        <w:rPr>
          <w:rFonts w:ascii="Arial" w:hAnsi="Arial" w:cs="Arial"/>
          <w:sz w:val="28"/>
          <w:szCs w:val="28"/>
          <w:lang w:val="es-CR"/>
        </w:rPr>
        <w:t xml:space="preserve"> de </w:t>
      </w:r>
      <w:r w:rsidR="00FC403A">
        <w:rPr>
          <w:rFonts w:ascii="Arial" w:hAnsi="Arial" w:cs="Arial"/>
          <w:sz w:val="28"/>
          <w:szCs w:val="28"/>
          <w:lang w:val="es-CR"/>
        </w:rPr>
        <w:t>Febrero</w:t>
      </w:r>
      <w:r w:rsidRPr="00633149">
        <w:rPr>
          <w:rFonts w:ascii="Arial" w:hAnsi="Arial" w:cs="Arial"/>
          <w:sz w:val="28"/>
          <w:szCs w:val="28"/>
          <w:lang w:val="es-CR"/>
        </w:rPr>
        <w:t xml:space="preserve"> 2020</w:t>
      </w:r>
    </w:p>
    <w:p w:rsidR="0056562B" w:rsidRDefault="0056562B">
      <w:pPr>
        <w:rPr>
          <w:rFonts w:ascii="Arial" w:hAnsi="Arial" w:cs="Arial"/>
          <w:lang w:val="es-CR"/>
        </w:rPr>
      </w:pPr>
      <w:r>
        <w:rPr>
          <w:rFonts w:ascii="Arial" w:hAnsi="Arial" w:cs="Arial"/>
          <w:lang w:val="es-CR"/>
        </w:rPr>
        <w:br w:type="page"/>
      </w:r>
    </w:p>
    <w:p w:rsidR="00354802" w:rsidRPr="00CA532B" w:rsidRDefault="00354802">
      <w:pPr>
        <w:rPr>
          <w:rFonts w:ascii="Arial" w:hAnsi="Arial" w:cs="Arial"/>
          <w:b/>
          <w:lang w:val="es-CR"/>
        </w:rPr>
      </w:pPr>
    </w:p>
    <w:p w:rsidR="00354802" w:rsidRPr="00CA532B" w:rsidRDefault="00354802">
      <w:pPr>
        <w:rPr>
          <w:rFonts w:ascii="Arial" w:hAnsi="Arial" w:cs="Arial"/>
          <w:b/>
          <w:lang w:val="es-CR"/>
        </w:rPr>
      </w:pPr>
    </w:p>
    <w:p w:rsidR="009F2146" w:rsidRDefault="009F2146">
      <w:pPr>
        <w:jc w:val="center"/>
        <w:rPr>
          <w:rFonts w:ascii="Arial" w:hAnsi="Arial" w:cs="Arial"/>
          <w:b/>
          <w:lang w:val="es-CR"/>
        </w:rPr>
      </w:pPr>
    </w:p>
    <w:p w:rsidR="00571D24" w:rsidRDefault="00571D24">
      <w:pPr>
        <w:jc w:val="center"/>
        <w:rPr>
          <w:rFonts w:ascii="Arial" w:hAnsi="Arial" w:cs="Arial"/>
          <w:b/>
          <w:lang w:val="es-CR"/>
        </w:rPr>
      </w:pPr>
    </w:p>
    <w:p w:rsidR="00A079AA" w:rsidRDefault="00A079AA">
      <w:pPr>
        <w:jc w:val="center"/>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Pr="00474BF8" w:rsidRDefault="00474BF8" w:rsidP="00474BF8">
      <w:pPr>
        <w:jc w:val="right"/>
        <w:rPr>
          <w:rFonts w:ascii="Arial" w:eastAsia="Calibri" w:hAnsi="Arial" w:cs="Arial"/>
          <w:b/>
          <w:i/>
          <w:iCs/>
          <w:sz w:val="28"/>
          <w:szCs w:val="22"/>
          <w:lang w:eastAsia="en-US"/>
        </w:rPr>
      </w:pPr>
      <w:r w:rsidRPr="00474BF8">
        <w:rPr>
          <w:rFonts w:ascii="Arial" w:eastAsia="Calibri" w:hAnsi="Arial" w:cs="Arial"/>
          <w:b/>
          <w:i/>
          <w:iCs/>
          <w:sz w:val="28"/>
          <w:szCs w:val="22"/>
          <w:lang w:eastAsia="en-US"/>
        </w:rPr>
        <w:t xml:space="preserve">Agradecimientos </w:t>
      </w: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Default="00474BF8" w:rsidP="00474BF8">
      <w:pPr>
        <w:jc w:val="right"/>
        <w:rPr>
          <w:rFonts w:ascii="Arial" w:hAnsi="Arial" w:cs="Arial"/>
          <w:b/>
          <w:lang w:val="es-CR"/>
        </w:rPr>
      </w:pPr>
    </w:p>
    <w:p w:rsidR="00474BF8" w:rsidRPr="00474BF8" w:rsidRDefault="00474BF8" w:rsidP="00474BF8">
      <w:pPr>
        <w:jc w:val="right"/>
        <w:rPr>
          <w:rFonts w:ascii="Arial" w:hAnsi="Arial" w:cs="Arial"/>
          <w:b/>
          <w:lang w:val="es-CR"/>
        </w:rPr>
      </w:pPr>
    </w:p>
    <w:p w:rsidR="00474BF8" w:rsidRDefault="00474BF8" w:rsidP="00474BF8">
      <w:pPr>
        <w:autoSpaceDE w:val="0"/>
        <w:autoSpaceDN w:val="0"/>
        <w:adjustRightInd w:val="0"/>
        <w:rPr>
          <w:rFonts w:cs="Arial"/>
          <w:i/>
          <w:iCs/>
        </w:rPr>
      </w:pPr>
    </w:p>
    <w:p w:rsidR="00474BF8" w:rsidRDefault="00474BF8" w:rsidP="00474BF8">
      <w:pPr>
        <w:autoSpaceDE w:val="0"/>
        <w:autoSpaceDN w:val="0"/>
        <w:adjustRightInd w:val="0"/>
        <w:rPr>
          <w:rFonts w:cs="Arial"/>
          <w:i/>
          <w:iCs/>
        </w:rPr>
      </w:pPr>
    </w:p>
    <w:p w:rsidR="00474BF8" w:rsidRPr="00474BF8" w:rsidRDefault="00474BF8" w:rsidP="00474BF8">
      <w:pPr>
        <w:autoSpaceDE w:val="0"/>
        <w:autoSpaceDN w:val="0"/>
        <w:adjustRightInd w:val="0"/>
        <w:spacing w:line="276" w:lineRule="auto"/>
        <w:jc w:val="both"/>
        <w:rPr>
          <w:rFonts w:ascii="Arial" w:eastAsia="Calibri" w:hAnsi="Arial" w:cs="Arial"/>
          <w:i/>
          <w:iCs/>
          <w:szCs w:val="22"/>
          <w:lang w:eastAsia="en-US"/>
        </w:rPr>
      </w:pPr>
      <w:r w:rsidRPr="00474BF8">
        <w:rPr>
          <w:rFonts w:ascii="Arial" w:eastAsia="Calibri" w:hAnsi="Arial" w:cs="Arial"/>
          <w:i/>
          <w:iCs/>
          <w:szCs w:val="22"/>
          <w:lang w:eastAsia="en-US"/>
        </w:rPr>
        <w:t xml:space="preserve">Este estudio fue realizado por funcionarios de la Dirección de Investigaciones Económicas y Mercado (DIEM) del MEIC; y contó con la valiosa colaboración de </w:t>
      </w:r>
      <w:r w:rsidR="007D33B1">
        <w:rPr>
          <w:rFonts w:ascii="Arial" w:eastAsia="Calibri" w:hAnsi="Arial" w:cs="Arial"/>
          <w:i/>
          <w:iCs/>
          <w:szCs w:val="22"/>
          <w:lang w:eastAsia="en-US"/>
        </w:rPr>
        <w:t xml:space="preserve">Joaquín Adolfo </w:t>
      </w:r>
      <w:r>
        <w:rPr>
          <w:rFonts w:ascii="Arial" w:eastAsia="Calibri" w:hAnsi="Arial" w:cs="Arial"/>
          <w:i/>
          <w:iCs/>
          <w:szCs w:val="22"/>
          <w:lang w:eastAsia="en-US"/>
        </w:rPr>
        <w:t>Torres Acuña</w:t>
      </w:r>
      <w:r w:rsidRPr="00474BF8">
        <w:rPr>
          <w:rFonts w:ascii="Arial" w:eastAsia="Calibri" w:hAnsi="Arial" w:cs="Arial"/>
          <w:i/>
          <w:iCs/>
          <w:szCs w:val="22"/>
          <w:lang w:eastAsia="en-US"/>
        </w:rPr>
        <w:t>,</w:t>
      </w:r>
      <w:r>
        <w:rPr>
          <w:rFonts w:ascii="Arial" w:eastAsia="Calibri" w:hAnsi="Arial" w:cs="Arial"/>
          <w:i/>
          <w:iCs/>
          <w:szCs w:val="22"/>
          <w:lang w:eastAsia="en-US"/>
        </w:rPr>
        <w:t xml:space="preserve"> funcionario</w:t>
      </w:r>
      <w:r w:rsidRPr="00474BF8">
        <w:rPr>
          <w:rFonts w:ascii="Arial" w:eastAsia="Calibri" w:hAnsi="Arial" w:cs="Arial"/>
          <w:i/>
          <w:iCs/>
          <w:szCs w:val="22"/>
          <w:lang w:eastAsia="en-US"/>
        </w:rPr>
        <w:t xml:space="preserve"> del Ministerio de Agricultura y Ganadería</w:t>
      </w:r>
      <w:r w:rsidR="007D33B1">
        <w:rPr>
          <w:rFonts w:ascii="Arial" w:eastAsia="Calibri" w:hAnsi="Arial" w:cs="Arial"/>
          <w:i/>
          <w:iCs/>
          <w:szCs w:val="22"/>
          <w:lang w:eastAsia="en-US"/>
        </w:rPr>
        <w:t xml:space="preserve"> (MAG), </w:t>
      </w:r>
      <w:r w:rsidR="00540809">
        <w:rPr>
          <w:rFonts w:ascii="Arial" w:eastAsia="Calibri" w:hAnsi="Arial" w:cs="Arial"/>
          <w:i/>
          <w:iCs/>
          <w:szCs w:val="22"/>
          <w:lang w:eastAsia="en-US"/>
        </w:rPr>
        <w:t xml:space="preserve">Coordinador de la Comisión Nacional de Palma </w:t>
      </w:r>
      <w:r w:rsidR="00700BD2">
        <w:rPr>
          <w:rFonts w:ascii="Arial" w:eastAsia="Calibri" w:hAnsi="Arial" w:cs="Arial"/>
          <w:i/>
          <w:iCs/>
          <w:szCs w:val="22"/>
          <w:lang w:eastAsia="en-US"/>
        </w:rPr>
        <w:t xml:space="preserve">a quien </w:t>
      </w:r>
      <w:r w:rsidR="007D33B1">
        <w:rPr>
          <w:rFonts w:ascii="Arial" w:eastAsia="Calibri" w:hAnsi="Arial" w:cs="Arial"/>
          <w:i/>
          <w:iCs/>
          <w:szCs w:val="22"/>
          <w:lang w:eastAsia="en-US"/>
        </w:rPr>
        <w:t xml:space="preserve">agradecemos por </w:t>
      </w:r>
      <w:r w:rsidRPr="00474BF8">
        <w:rPr>
          <w:rFonts w:ascii="Arial" w:eastAsia="Calibri" w:hAnsi="Arial" w:cs="Arial"/>
          <w:i/>
          <w:iCs/>
          <w:szCs w:val="22"/>
          <w:lang w:eastAsia="en-US"/>
        </w:rPr>
        <w:t xml:space="preserve">el apoyo brindado. </w:t>
      </w:r>
    </w:p>
    <w:p w:rsidR="00474BF8" w:rsidRPr="009F4738" w:rsidRDefault="00474BF8" w:rsidP="00474BF8">
      <w:pPr>
        <w:rPr>
          <w:rFonts w:ascii="Cambria" w:hAnsi="Cambria"/>
          <w:color w:val="17365D"/>
          <w:spacing w:val="5"/>
          <w:kern w:val="28"/>
          <w:sz w:val="52"/>
          <w:szCs w:val="52"/>
        </w:rPr>
      </w:pPr>
    </w:p>
    <w:p w:rsidR="00474BF8" w:rsidRDefault="00474BF8">
      <w:pPr>
        <w:rPr>
          <w:rFonts w:ascii="Arial" w:hAnsi="Arial" w:cs="Arial"/>
          <w:b/>
        </w:rPr>
      </w:pPr>
    </w:p>
    <w:p w:rsidR="00571D24" w:rsidRPr="003C5900" w:rsidRDefault="00474BF8" w:rsidP="006F4B69">
      <w:r>
        <w:br w:type="page"/>
      </w:r>
    </w:p>
    <w:bookmarkStart w:id="0" w:name="_Toc529792166" w:displacedByCustomXml="next"/>
    <w:sdt>
      <w:sdtPr>
        <w:rPr>
          <w:rFonts w:ascii="Arial" w:eastAsia="Times New Roman" w:hAnsi="Arial" w:cs="Arial"/>
          <w:color w:val="auto"/>
          <w:sz w:val="24"/>
          <w:szCs w:val="24"/>
          <w:lang w:val="es-ES" w:eastAsia="es-ES"/>
        </w:rPr>
        <w:id w:val="1346441393"/>
        <w:docPartObj>
          <w:docPartGallery w:val="Table of Contents"/>
          <w:docPartUnique/>
        </w:docPartObj>
      </w:sdtPr>
      <w:sdtEndPr>
        <w:rPr>
          <w:rFonts w:ascii="Times New Roman" w:hAnsi="Times New Roman" w:cs="Times New Roman"/>
          <w:b/>
          <w:bCs/>
        </w:rPr>
      </w:sdtEndPr>
      <w:sdtContent>
        <w:p w:rsidR="0088405B" w:rsidRPr="00653869" w:rsidRDefault="0088405B">
          <w:pPr>
            <w:pStyle w:val="TtulodeTDC"/>
            <w:rPr>
              <w:rFonts w:ascii="Arial" w:hAnsi="Arial" w:cs="Arial"/>
            </w:rPr>
          </w:pPr>
          <w:r w:rsidRPr="00653869">
            <w:rPr>
              <w:rFonts w:ascii="Arial" w:hAnsi="Arial" w:cs="Arial"/>
              <w:lang w:val="es-ES"/>
            </w:rPr>
            <w:t>Contenido</w:t>
          </w:r>
        </w:p>
        <w:p w:rsidR="001D33D5" w:rsidRDefault="0088405B">
          <w:pPr>
            <w:pStyle w:val="TDC1"/>
            <w:rPr>
              <w:rFonts w:asciiTheme="minorHAnsi" w:eastAsiaTheme="minorEastAsia" w:hAnsiTheme="minorHAnsi" w:cstheme="minorBidi"/>
              <w:noProof/>
              <w:sz w:val="22"/>
              <w:szCs w:val="22"/>
              <w:lang w:val="es-CR" w:eastAsia="es-CR"/>
            </w:rPr>
          </w:pPr>
          <w:r w:rsidRPr="00653869">
            <w:rPr>
              <w:rFonts w:ascii="Arial" w:hAnsi="Arial" w:cs="Arial"/>
              <w:b/>
              <w:bCs/>
            </w:rPr>
            <w:fldChar w:fldCharType="begin"/>
          </w:r>
          <w:r w:rsidRPr="00653869">
            <w:rPr>
              <w:rFonts w:ascii="Arial" w:hAnsi="Arial" w:cs="Arial"/>
              <w:b/>
              <w:bCs/>
            </w:rPr>
            <w:instrText xml:space="preserve"> TOC \o "1-3" \h \z \u </w:instrText>
          </w:r>
          <w:r w:rsidRPr="00653869">
            <w:rPr>
              <w:rFonts w:ascii="Arial" w:hAnsi="Arial" w:cs="Arial"/>
              <w:b/>
              <w:bCs/>
            </w:rPr>
            <w:fldChar w:fldCharType="separate"/>
          </w:r>
          <w:hyperlink w:anchor="_Toc63666198" w:history="1">
            <w:r w:rsidR="001D33D5" w:rsidRPr="00347511">
              <w:rPr>
                <w:rStyle w:val="Hipervnculo"/>
                <w:rFonts w:eastAsiaTheme="majorEastAsia"/>
                <w:noProof/>
                <w:lang w:val="es-CR" w:eastAsia="es-CR"/>
              </w:rPr>
              <w:t>Introducción</w:t>
            </w:r>
            <w:r w:rsidR="001D33D5">
              <w:rPr>
                <w:noProof/>
                <w:webHidden/>
              </w:rPr>
              <w:tab/>
            </w:r>
            <w:r w:rsidR="001D33D5">
              <w:rPr>
                <w:noProof/>
                <w:webHidden/>
              </w:rPr>
              <w:fldChar w:fldCharType="begin"/>
            </w:r>
            <w:r w:rsidR="001D33D5">
              <w:rPr>
                <w:noProof/>
                <w:webHidden/>
              </w:rPr>
              <w:instrText xml:space="preserve"> PAGEREF _Toc63666198 \h </w:instrText>
            </w:r>
            <w:r w:rsidR="001D33D5">
              <w:rPr>
                <w:noProof/>
                <w:webHidden/>
              </w:rPr>
            </w:r>
            <w:r w:rsidR="001D33D5">
              <w:rPr>
                <w:noProof/>
                <w:webHidden/>
              </w:rPr>
              <w:fldChar w:fldCharType="separate"/>
            </w:r>
            <w:r w:rsidR="001D33D5">
              <w:rPr>
                <w:noProof/>
                <w:webHidden/>
              </w:rPr>
              <w:t>6</w:t>
            </w:r>
            <w:r w:rsidR="001D33D5">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199" w:history="1">
            <w:r w:rsidRPr="00347511">
              <w:rPr>
                <w:rStyle w:val="Hipervnculo"/>
                <w:rFonts w:eastAsia="Calibri"/>
                <w:noProof/>
                <w:lang w:eastAsia="en-US"/>
              </w:rPr>
              <w:t>Antecedentes</w:t>
            </w:r>
            <w:r>
              <w:rPr>
                <w:noProof/>
                <w:webHidden/>
              </w:rPr>
              <w:tab/>
            </w:r>
            <w:r>
              <w:rPr>
                <w:noProof/>
                <w:webHidden/>
              </w:rPr>
              <w:fldChar w:fldCharType="begin"/>
            </w:r>
            <w:r>
              <w:rPr>
                <w:noProof/>
                <w:webHidden/>
              </w:rPr>
              <w:instrText xml:space="preserve"> PAGEREF _Toc63666199 \h </w:instrText>
            </w:r>
            <w:r>
              <w:rPr>
                <w:noProof/>
                <w:webHidden/>
              </w:rPr>
            </w:r>
            <w:r>
              <w:rPr>
                <w:noProof/>
                <w:webHidden/>
              </w:rPr>
              <w:fldChar w:fldCharType="separate"/>
            </w:r>
            <w:r>
              <w:rPr>
                <w:noProof/>
                <w:webHidden/>
              </w:rPr>
              <w:t>6</w:t>
            </w:r>
            <w:r>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200" w:history="1">
            <w:r w:rsidRPr="00347511">
              <w:rPr>
                <w:rStyle w:val="Hipervnculo"/>
                <w:rFonts w:eastAsia="Calibri"/>
                <w:noProof/>
                <w:lang w:eastAsia="en-US"/>
              </w:rPr>
              <w:t>Objetivos</w:t>
            </w:r>
            <w:r>
              <w:rPr>
                <w:noProof/>
                <w:webHidden/>
              </w:rPr>
              <w:tab/>
            </w:r>
            <w:r>
              <w:rPr>
                <w:noProof/>
                <w:webHidden/>
              </w:rPr>
              <w:fldChar w:fldCharType="begin"/>
            </w:r>
            <w:r>
              <w:rPr>
                <w:noProof/>
                <w:webHidden/>
              </w:rPr>
              <w:instrText xml:space="preserve"> PAGEREF _Toc63666200 \h </w:instrText>
            </w:r>
            <w:r>
              <w:rPr>
                <w:noProof/>
                <w:webHidden/>
              </w:rPr>
            </w:r>
            <w:r>
              <w:rPr>
                <w:noProof/>
                <w:webHidden/>
              </w:rPr>
              <w:fldChar w:fldCharType="separate"/>
            </w:r>
            <w:r>
              <w:rPr>
                <w:noProof/>
                <w:webHidden/>
              </w:rPr>
              <w:t>9</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1" w:history="1">
            <w:r w:rsidRPr="00347511">
              <w:rPr>
                <w:rStyle w:val="Hipervnculo"/>
                <w:rFonts w:eastAsia="Calibri"/>
                <w:noProof/>
                <w:lang w:eastAsia="en-US"/>
              </w:rPr>
              <w:t>Objetivo general</w:t>
            </w:r>
            <w:r>
              <w:rPr>
                <w:noProof/>
                <w:webHidden/>
              </w:rPr>
              <w:tab/>
            </w:r>
            <w:r>
              <w:rPr>
                <w:noProof/>
                <w:webHidden/>
              </w:rPr>
              <w:fldChar w:fldCharType="begin"/>
            </w:r>
            <w:r>
              <w:rPr>
                <w:noProof/>
                <w:webHidden/>
              </w:rPr>
              <w:instrText xml:space="preserve"> PAGEREF _Toc63666201 \h </w:instrText>
            </w:r>
            <w:r>
              <w:rPr>
                <w:noProof/>
                <w:webHidden/>
              </w:rPr>
            </w:r>
            <w:r>
              <w:rPr>
                <w:noProof/>
                <w:webHidden/>
              </w:rPr>
              <w:fldChar w:fldCharType="separate"/>
            </w:r>
            <w:r>
              <w:rPr>
                <w:noProof/>
                <w:webHidden/>
              </w:rPr>
              <w:t>9</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2" w:history="1">
            <w:r w:rsidRPr="00347511">
              <w:rPr>
                <w:rStyle w:val="Hipervnculo"/>
                <w:rFonts w:eastAsia="Calibri"/>
                <w:noProof/>
                <w:lang w:eastAsia="en-US"/>
              </w:rPr>
              <w:t>Objetivos específicos</w:t>
            </w:r>
            <w:r>
              <w:rPr>
                <w:noProof/>
                <w:webHidden/>
              </w:rPr>
              <w:tab/>
            </w:r>
            <w:r>
              <w:rPr>
                <w:noProof/>
                <w:webHidden/>
              </w:rPr>
              <w:fldChar w:fldCharType="begin"/>
            </w:r>
            <w:r>
              <w:rPr>
                <w:noProof/>
                <w:webHidden/>
              </w:rPr>
              <w:instrText xml:space="preserve"> PAGEREF _Toc63666202 \h </w:instrText>
            </w:r>
            <w:r>
              <w:rPr>
                <w:noProof/>
                <w:webHidden/>
              </w:rPr>
            </w:r>
            <w:r>
              <w:rPr>
                <w:noProof/>
                <w:webHidden/>
              </w:rPr>
              <w:fldChar w:fldCharType="separate"/>
            </w:r>
            <w:r>
              <w:rPr>
                <w:noProof/>
                <w:webHidden/>
              </w:rPr>
              <w:t>9</w:t>
            </w:r>
            <w:r>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203" w:history="1">
            <w:r w:rsidRPr="00347511">
              <w:rPr>
                <w:rStyle w:val="Hipervnculo"/>
                <w:rFonts w:eastAsia="Calibri"/>
                <w:noProof/>
                <w:lang w:eastAsia="en-US"/>
              </w:rPr>
              <w:t>Metodología</w:t>
            </w:r>
            <w:r>
              <w:rPr>
                <w:noProof/>
                <w:webHidden/>
              </w:rPr>
              <w:tab/>
            </w:r>
            <w:r>
              <w:rPr>
                <w:noProof/>
                <w:webHidden/>
              </w:rPr>
              <w:fldChar w:fldCharType="begin"/>
            </w:r>
            <w:r>
              <w:rPr>
                <w:noProof/>
                <w:webHidden/>
              </w:rPr>
              <w:instrText xml:space="preserve"> PAGEREF _Toc63666203 \h </w:instrText>
            </w:r>
            <w:r>
              <w:rPr>
                <w:noProof/>
                <w:webHidden/>
              </w:rPr>
            </w:r>
            <w:r>
              <w:rPr>
                <w:noProof/>
                <w:webHidden/>
              </w:rPr>
              <w:fldChar w:fldCharType="separate"/>
            </w:r>
            <w:r>
              <w:rPr>
                <w:noProof/>
                <w:webHidden/>
              </w:rPr>
              <w:t>9</w:t>
            </w:r>
            <w:r>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204" w:history="1">
            <w:r w:rsidRPr="00347511">
              <w:rPr>
                <w:rStyle w:val="Hipervnculo"/>
                <w:rFonts w:eastAsia="Calibri"/>
                <w:noProof/>
                <w:lang w:val="es-CR" w:eastAsia="en-US"/>
              </w:rPr>
              <w:t>Caracterización del sector palmero en Costa Rica</w:t>
            </w:r>
            <w:r>
              <w:rPr>
                <w:noProof/>
                <w:webHidden/>
              </w:rPr>
              <w:tab/>
            </w:r>
            <w:r>
              <w:rPr>
                <w:noProof/>
                <w:webHidden/>
              </w:rPr>
              <w:fldChar w:fldCharType="begin"/>
            </w:r>
            <w:r>
              <w:rPr>
                <w:noProof/>
                <w:webHidden/>
              </w:rPr>
              <w:instrText xml:space="preserve"> PAGEREF _Toc63666204 \h </w:instrText>
            </w:r>
            <w:r>
              <w:rPr>
                <w:noProof/>
                <w:webHidden/>
              </w:rPr>
            </w:r>
            <w:r>
              <w:rPr>
                <w:noProof/>
                <w:webHidden/>
              </w:rPr>
              <w:fldChar w:fldCharType="separate"/>
            </w:r>
            <w:r>
              <w:rPr>
                <w:noProof/>
                <w:webHidden/>
              </w:rPr>
              <w:t>10</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5" w:history="1">
            <w:r w:rsidRPr="00347511">
              <w:rPr>
                <w:rStyle w:val="Hipervnculo"/>
                <w:rFonts w:eastAsia="Calibri"/>
                <w:noProof/>
                <w:lang w:val="es-CR" w:eastAsia="en-US"/>
              </w:rPr>
              <w:t>Área sembrada</w:t>
            </w:r>
            <w:r>
              <w:rPr>
                <w:noProof/>
                <w:webHidden/>
              </w:rPr>
              <w:tab/>
            </w:r>
            <w:r>
              <w:rPr>
                <w:noProof/>
                <w:webHidden/>
              </w:rPr>
              <w:fldChar w:fldCharType="begin"/>
            </w:r>
            <w:r>
              <w:rPr>
                <w:noProof/>
                <w:webHidden/>
              </w:rPr>
              <w:instrText xml:space="preserve"> PAGEREF _Toc63666205 \h </w:instrText>
            </w:r>
            <w:r>
              <w:rPr>
                <w:noProof/>
                <w:webHidden/>
              </w:rPr>
            </w:r>
            <w:r>
              <w:rPr>
                <w:noProof/>
                <w:webHidden/>
              </w:rPr>
              <w:fldChar w:fldCharType="separate"/>
            </w:r>
            <w:r>
              <w:rPr>
                <w:noProof/>
                <w:webHidden/>
              </w:rPr>
              <w:t>10</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6" w:history="1">
            <w:r w:rsidRPr="00347511">
              <w:rPr>
                <w:rStyle w:val="Hipervnculo"/>
                <w:rFonts w:eastAsia="Calibri"/>
                <w:noProof/>
                <w:lang w:val="es-CR" w:eastAsia="en-US"/>
              </w:rPr>
              <w:t>Producción de fruta de palma aceitera</w:t>
            </w:r>
            <w:r>
              <w:rPr>
                <w:noProof/>
                <w:webHidden/>
              </w:rPr>
              <w:tab/>
            </w:r>
            <w:r>
              <w:rPr>
                <w:noProof/>
                <w:webHidden/>
              </w:rPr>
              <w:fldChar w:fldCharType="begin"/>
            </w:r>
            <w:r>
              <w:rPr>
                <w:noProof/>
                <w:webHidden/>
              </w:rPr>
              <w:instrText xml:space="preserve"> PAGEREF _Toc63666206 \h </w:instrText>
            </w:r>
            <w:r>
              <w:rPr>
                <w:noProof/>
                <w:webHidden/>
              </w:rPr>
            </w:r>
            <w:r>
              <w:rPr>
                <w:noProof/>
                <w:webHidden/>
              </w:rPr>
              <w:fldChar w:fldCharType="separate"/>
            </w:r>
            <w:r>
              <w:rPr>
                <w:noProof/>
                <w:webHidden/>
              </w:rPr>
              <w:t>12</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7" w:history="1">
            <w:r w:rsidRPr="00347511">
              <w:rPr>
                <w:rStyle w:val="Hipervnculo"/>
                <w:rFonts w:eastAsia="Calibri"/>
                <w:noProof/>
                <w:lang w:val="es-CR" w:eastAsia="en-US"/>
              </w:rPr>
              <w:t>Rendimiento</w:t>
            </w:r>
            <w:r>
              <w:rPr>
                <w:noProof/>
                <w:webHidden/>
              </w:rPr>
              <w:tab/>
            </w:r>
            <w:r>
              <w:rPr>
                <w:noProof/>
                <w:webHidden/>
              </w:rPr>
              <w:fldChar w:fldCharType="begin"/>
            </w:r>
            <w:r>
              <w:rPr>
                <w:noProof/>
                <w:webHidden/>
              </w:rPr>
              <w:instrText xml:space="preserve"> PAGEREF _Toc63666207 \h </w:instrText>
            </w:r>
            <w:r>
              <w:rPr>
                <w:noProof/>
                <w:webHidden/>
              </w:rPr>
            </w:r>
            <w:r>
              <w:rPr>
                <w:noProof/>
                <w:webHidden/>
              </w:rPr>
              <w:fldChar w:fldCharType="separate"/>
            </w:r>
            <w:r>
              <w:rPr>
                <w:noProof/>
                <w:webHidden/>
              </w:rPr>
              <w:t>12</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8" w:history="1">
            <w:r w:rsidRPr="00347511">
              <w:rPr>
                <w:rStyle w:val="Hipervnculo"/>
                <w:rFonts w:eastAsia="Calibri"/>
                <w:noProof/>
                <w:lang w:val="es-CR" w:eastAsia="en-US"/>
              </w:rPr>
              <w:t>Palmicultor</w:t>
            </w:r>
            <w:r>
              <w:rPr>
                <w:noProof/>
                <w:webHidden/>
              </w:rPr>
              <w:tab/>
            </w:r>
            <w:r>
              <w:rPr>
                <w:noProof/>
                <w:webHidden/>
              </w:rPr>
              <w:fldChar w:fldCharType="begin"/>
            </w:r>
            <w:r>
              <w:rPr>
                <w:noProof/>
                <w:webHidden/>
              </w:rPr>
              <w:instrText xml:space="preserve"> PAGEREF _Toc63666208 \h </w:instrText>
            </w:r>
            <w:r>
              <w:rPr>
                <w:noProof/>
                <w:webHidden/>
              </w:rPr>
            </w:r>
            <w:r>
              <w:rPr>
                <w:noProof/>
                <w:webHidden/>
              </w:rPr>
              <w:fldChar w:fldCharType="separate"/>
            </w:r>
            <w:r>
              <w:rPr>
                <w:noProof/>
                <w:webHidden/>
              </w:rPr>
              <w:t>13</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09" w:history="1">
            <w:r w:rsidRPr="00347511">
              <w:rPr>
                <w:rStyle w:val="Hipervnculo"/>
                <w:rFonts w:eastAsia="Calibri"/>
                <w:noProof/>
                <w:lang w:val="es-CR" w:eastAsia="en-US"/>
              </w:rPr>
              <w:t>Extracción por tipo de subproducto</w:t>
            </w:r>
            <w:r>
              <w:rPr>
                <w:noProof/>
                <w:webHidden/>
              </w:rPr>
              <w:tab/>
            </w:r>
            <w:r>
              <w:rPr>
                <w:noProof/>
                <w:webHidden/>
              </w:rPr>
              <w:fldChar w:fldCharType="begin"/>
            </w:r>
            <w:r>
              <w:rPr>
                <w:noProof/>
                <w:webHidden/>
              </w:rPr>
              <w:instrText xml:space="preserve"> PAGEREF _Toc63666209 \h </w:instrText>
            </w:r>
            <w:r>
              <w:rPr>
                <w:noProof/>
                <w:webHidden/>
              </w:rPr>
            </w:r>
            <w:r>
              <w:rPr>
                <w:noProof/>
                <w:webHidden/>
              </w:rPr>
              <w:fldChar w:fldCharType="separate"/>
            </w:r>
            <w:r>
              <w:rPr>
                <w:noProof/>
                <w:webHidden/>
              </w:rPr>
              <w:t>14</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10" w:history="1">
            <w:r w:rsidRPr="00347511">
              <w:rPr>
                <w:rStyle w:val="Hipervnculo"/>
                <w:rFonts w:eastAsia="Calibri"/>
                <w:noProof/>
                <w:lang w:val="es-CR" w:eastAsia="en-US"/>
              </w:rPr>
              <w:t>Rendimiento sobre la fruta a nivel de industria</w:t>
            </w:r>
            <w:r>
              <w:rPr>
                <w:noProof/>
                <w:webHidden/>
              </w:rPr>
              <w:tab/>
            </w:r>
            <w:r>
              <w:rPr>
                <w:noProof/>
                <w:webHidden/>
              </w:rPr>
              <w:fldChar w:fldCharType="begin"/>
            </w:r>
            <w:r>
              <w:rPr>
                <w:noProof/>
                <w:webHidden/>
              </w:rPr>
              <w:instrText xml:space="preserve"> PAGEREF _Toc63666210 \h </w:instrText>
            </w:r>
            <w:r>
              <w:rPr>
                <w:noProof/>
                <w:webHidden/>
              </w:rPr>
            </w:r>
            <w:r>
              <w:rPr>
                <w:noProof/>
                <w:webHidden/>
              </w:rPr>
              <w:fldChar w:fldCharType="separate"/>
            </w:r>
            <w:r>
              <w:rPr>
                <w:noProof/>
                <w:webHidden/>
              </w:rPr>
              <w:t>15</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11" w:history="1">
            <w:r w:rsidRPr="00347511">
              <w:rPr>
                <w:rStyle w:val="Hipervnculo"/>
                <w:rFonts w:eastAsia="Calibri"/>
                <w:noProof/>
                <w:lang w:val="es-CR" w:eastAsia="en-US"/>
              </w:rPr>
              <w:t>Comportamiento de precios</w:t>
            </w:r>
            <w:r>
              <w:rPr>
                <w:noProof/>
                <w:webHidden/>
              </w:rPr>
              <w:tab/>
            </w:r>
            <w:r>
              <w:rPr>
                <w:noProof/>
                <w:webHidden/>
              </w:rPr>
              <w:fldChar w:fldCharType="begin"/>
            </w:r>
            <w:r>
              <w:rPr>
                <w:noProof/>
                <w:webHidden/>
              </w:rPr>
              <w:instrText xml:space="preserve"> PAGEREF _Toc63666211 \h </w:instrText>
            </w:r>
            <w:r>
              <w:rPr>
                <w:noProof/>
                <w:webHidden/>
              </w:rPr>
            </w:r>
            <w:r>
              <w:rPr>
                <w:noProof/>
                <w:webHidden/>
              </w:rPr>
              <w:fldChar w:fldCharType="separate"/>
            </w:r>
            <w:r>
              <w:rPr>
                <w:noProof/>
                <w:webHidden/>
              </w:rPr>
              <w:t>16</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12" w:history="1">
            <w:r w:rsidRPr="00347511">
              <w:rPr>
                <w:rStyle w:val="Hipervnculo"/>
                <w:rFonts w:eastAsia="Calibri"/>
                <w:noProof/>
                <w:lang w:val="es-CR" w:eastAsia="en-US"/>
              </w:rPr>
              <w:t>Comportamiento de las exportaciones e importaciones nacionales</w:t>
            </w:r>
            <w:r>
              <w:rPr>
                <w:noProof/>
                <w:webHidden/>
              </w:rPr>
              <w:tab/>
            </w:r>
            <w:r>
              <w:rPr>
                <w:noProof/>
                <w:webHidden/>
              </w:rPr>
              <w:fldChar w:fldCharType="begin"/>
            </w:r>
            <w:r>
              <w:rPr>
                <w:noProof/>
                <w:webHidden/>
              </w:rPr>
              <w:instrText xml:space="preserve"> PAGEREF _Toc63666212 \h </w:instrText>
            </w:r>
            <w:r>
              <w:rPr>
                <w:noProof/>
                <w:webHidden/>
              </w:rPr>
            </w:r>
            <w:r>
              <w:rPr>
                <w:noProof/>
                <w:webHidden/>
              </w:rPr>
              <w:fldChar w:fldCharType="separate"/>
            </w:r>
            <w:r>
              <w:rPr>
                <w:noProof/>
                <w:webHidden/>
              </w:rPr>
              <w:t>20</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13" w:history="1">
            <w:r w:rsidRPr="00347511">
              <w:rPr>
                <w:rStyle w:val="Hipervnculo"/>
                <w:rFonts w:eastAsia="Calibri"/>
                <w:noProof/>
                <w:lang w:val="es-CR" w:eastAsia="en-US"/>
              </w:rPr>
              <w:t>El pago de la fruta en la industria</w:t>
            </w:r>
            <w:r>
              <w:rPr>
                <w:noProof/>
                <w:webHidden/>
              </w:rPr>
              <w:tab/>
            </w:r>
            <w:r>
              <w:rPr>
                <w:noProof/>
                <w:webHidden/>
              </w:rPr>
              <w:fldChar w:fldCharType="begin"/>
            </w:r>
            <w:r>
              <w:rPr>
                <w:noProof/>
                <w:webHidden/>
              </w:rPr>
              <w:instrText xml:space="preserve"> PAGEREF _Toc63666213 \h </w:instrText>
            </w:r>
            <w:r>
              <w:rPr>
                <w:noProof/>
                <w:webHidden/>
              </w:rPr>
            </w:r>
            <w:r>
              <w:rPr>
                <w:noProof/>
                <w:webHidden/>
              </w:rPr>
              <w:fldChar w:fldCharType="separate"/>
            </w:r>
            <w:r>
              <w:rPr>
                <w:noProof/>
                <w:webHidden/>
              </w:rPr>
              <w:t>21</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14" w:history="1">
            <w:r w:rsidRPr="00347511">
              <w:rPr>
                <w:rStyle w:val="Hipervnculo"/>
                <w:noProof/>
                <w:lang w:val="es-CR"/>
              </w:rPr>
              <w:t>Palma Tica</w:t>
            </w:r>
            <w:r>
              <w:rPr>
                <w:noProof/>
                <w:webHidden/>
              </w:rPr>
              <w:tab/>
            </w:r>
            <w:r>
              <w:rPr>
                <w:noProof/>
                <w:webHidden/>
              </w:rPr>
              <w:fldChar w:fldCharType="begin"/>
            </w:r>
            <w:r>
              <w:rPr>
                <w:noProof/>
                <w:webHidden/>
              </w:rPr>
              <w:instrText xml:space="preserve"> PAGEREF _Toc63666214 \h </w:instrText>
            </w:r>
            <w:r>
              <w:rPr>
                <w:noProof/>
                <w:webHidden/>
              </w:rPr>
            </w:r>
            <w:r>
              <w:rPr>
                <w:noProof/>
                <w:webHidden/>
              </w:rPr>
              <w:fldChar w:fldCharType="separate"/>
            </w:r>
            <w:r>
              <w:rPr>
                <w:noProof/>
                <w:webHidden/>
              </w:rPr>
              <w:t>21</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15" w:history="1">
            <w:r w:rsidRPr="00347511">
              <w:rPr>
                <w:rStyle w:val="Hipervnculo"/>
                <w:noProof/>
                <w:lang w:val="es-CR"/>
              </w:rPr>
              <w:t>Coopeagropal</w:t>
            </w:r>
            <w:r>
              <w:rPr>
                <w:noProof/>
                <w:webHidden/>
              </w:rPr>
              <w:tab/>
            </w:r>
            <w:r>
              <w:rPr>
                <w:noProof/>
                <w:webHidden/>
              </w:rPr>
              <w:fldChar w:fldCharType="begin"/>
            </w:r>
            <w:r>
              <w:rPr>
                <w:noProof/>
                <w:webHidden/>
              </w:rPr>
              <w:instrText xml:space="preserve"> PAGEREF _Toc63666215 \h </w:instrText>
            </w:r>
            <w:r>
              <w:rPr>
                <w:noProof/>
                <w:webHidden/>
              </w:rPr>
            </w:r>
            <w:r>
              <w:rPr>
                <w:noProof/>
                <w:webHidden/>
              </w:rPr>
              <w:fldChar w:fldCharType="separate"/>
            </w:r>
            <w:r>
              <w:rPr>
                <w:noProof/>
                <w:webHidden/>
              </w:rPr>
              <w:t>24</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16" w:history="1">
            <w:r w:rsidRPr="00347511">
              <w:rPr>
                <w:rStyle w:val="Hipervnculo"/>
                <w:rFonts w:ascii="Arial" w:hAnsi="Arial" w:cs="Arial"/>
                <w:noProof/>
                <w:lang w:val="es-CR"/>
              </w:rPr>
              <w:t>Premios</w:t>
            </w:r>
            <w:r>
              <w:rPr>
                <w:noProof/>
                <w:webHidden/>
              </w:rPr>
              <w:tab/>
            </w:r>
            <w:r>
              <w:rPr>
                <w:noProof/>
                <w:webHidden/>
              </w:rPr>
              <w:fldChar w:fldCharType="begin"/>
            </w:r>
            <w:r>
              <w:rPr>
                <w:noProof/>
                <w:webHidden/>
              </w:rPr>
              <w:instrText xml:space="preserve"> PAGEREF _Toc63666216 \h </w:instrText>
            </w:r>
            <w:r>
              <w:rPr>
                <w:noProof/>
                <w:webHidden/>
              </w:rPr>
            </w:r>
            <w:r>
              <w:rPr>
                <w:noProof/>
                <w:webHidden/>
              </w:rPr>
              <w:fldChar w:fldCharType="separate"/>
            </w:r>
            <w:r>
              <w:rPr>
                <w:noProof/>
                <w:webHidden/>
              </w:rPr>
              <w:t>24</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17" w:history="1">
            <w:r w:rsidRPr="00347511">
              <w:rPr>
                <w:rStyle w:val="Hipervnculo"/>
                <w:rFonts w:ascii="Arial" w:hAnsi="Arial" w:cs="Arial"/>
                <w:noProof/>
                <w:lang w:val="es-CR"/>
              </w:rPr>
              <w:t>Descuentos</w:t>
            </w:r>
            <w:r>
              <w:rPr>
                <w:noProof/>
                <w:webHidden/>
              </w:rPr>
              <w:tab/>
            </w:r>
            <w:r>
              <w:rPr>
                <w:noProof/>
                <w:webHidden/>
              </w:rPr>
              <w:fldChar w:fldCharType="begin"/>
            </w:r>
            <w:r>
              <w:rPr>
                <w:noProof/>
                <w:webHidden/>
              </w:rPr>
              <w:instrText xml:space="preserve"> PAGEREF _Toc63666217 \h </w:instrText>
            </w:r>
            <w:r>
              <w:rPr>
                <w:noProof/>
                <w:webHidden/>
              </w:rPr>
            </w:r>
            <w:r>
              <w:rPr>
                <w:noProof/>
                <w:webHidden/>
              </w:rPr>
              <w:fldChar w:fldCharType="separate"/>
            </w:r>
            <w:r>
              <w:rPr>
                <w:noProof/>
                <w:webHidden/>
              </w:rPr>
              <w:t>24</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18" w:history="1">
            <w:r w:rsidRPr="00347511">
              <w:rPr>
                <w:rStyle w:val="Hipervnculo"/>
                <w:noProof/>
                <w:lang w:val="es-CR"/>
              </w:rPr>
              <w:t>Palmatec</w:t>
            </w:r>
            <w:r>
              <w:rPr>
                <w:noProof/>
                <w:webHidden/>
              </w:rPr>
              <w:tab/>
            </w:r>
            <w:r>
              <w:rPr>
                <w:noProof/>
                <w:webHidden/>
              </w:rPr>
              <w:fldChar w:fldCharType="begin"/>
            </w:r>
            <w:r>
              <w:rPr>
                <w:noProof/>
                <w:webHidden/>
              </w:rPr>
              <w:instrText xml:space="preserve"> PAGEREF _Toc63666218 \h </w:instrText>
            </w:r>
            <w:r>
              <w:rPr>
                <w:noProof/>
                <w:webHidden/>
              </w:rPr>
            </w:r>
            <w:r>
              <w:rPr>
                <w:noProof/>
                <w:webHidden/>
              </w:rPr>
              <w:fldChar w:fldCharType="separate"/>
            </w:r>
            <w:r>
              <w:rPr>
                <w:noProof/>
                <w:webHidden/>
              </w:rPr>
              <w:t>25</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19" w:history="1">
            <w:r w:rsidRPr="00347511">
              <w:rPr>
                <w:rStyle w:val="Hipervnculo"/>
                <w:rFonts w:eastAsia="Calibri"/>
                <w:noProof/>
                <w:lang w:eastAsia="en-US"/>
              </w:rPr>
              <w:t>Precio promedio de compra de la fruta según industria</w:t>
            </w:r>
            <w:r>
              <w:rPr>
                <w:noProof/>
                <w:webHidden/>
              </w:rPr>
              <w:tab/>
            </w:r>
            <w:r>
              <w:rPr>
                <w:noProof/>
                <w:webHidden/>
              </w:rPr>
              <w:fldChar w:fldCharType="begin"/>
            </w:r>
            <w:r>
              <w:rPr>
                <w:noProof/>
                <w:webHidden/>
              </w:rPr>
              <w:instrText xml:space="preserve"> PAGEREF _Toc63666219 \h </w:instrText>
            </w:r>
            <w:r>
              <w:rPr>
                <w:noProof/>
                <w:webHidden/>
              </w:rPr>
            </w:r>
            <w:r>
              <w:rPr>
                <w:noProof/>
                <w:webHidden/>
              </w:rPr>
              <w:fldChar w:fldCharType="separate"/>
            </w:r>
            <w:r>
              <w:rPr>
                <w:noProof/>
                <w:webHidden/>
              </w:rPr>
              <w:t>25</w:t>
            </w:r>
            <w:r>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220" w:history="1">
            <w:r w:rsidRPr="00347511">
              <w:rPr>
                <w:rStyle w:val="Hipervnculo"/>
                <w:noProof/>
                <w:lang w:val="es-CR"/>
              </w:rPr>
              <w:t>Valuación del modelo de costos de la producción agrícola</w:t>
            </w:r>
            <w:r>
              <w:rPr>
                <w:noProof/>
                <w:webHidden/>
              </w:rPr>
              <w:tab/>
            </w:r>
            <w:r>
              <w:rPr>
                <w:noProof/>
                <w:webHidden/>
              </w:rPr>
              <w:fldChar w:fldCharType="begin"/>
            </w:r>
            <w:r>
              <w:rPr>
                <w:noProof/>
                <w:webHidden/>
              </w:rPr>
              <w:instrText xml:space="preserve"> PAGEREF _Toc63666220 \h </w:instrText>
            </w:r>
            <w:r>
              <w:rPr>
                <w:noProof/>
                <w:webHidden/>
              </w:rPr>
            </w:r>
            <w:r>
              <w:rPr>
                <w:noProof/>
                <w:webHidden/>
              </w:rPr>
              <w:fldChar w:fldCharType="separate"/>
            </w:r>
            <w:r>
              <w:rPr>
                <w:noProof/>
                <w:webHidden/>
              </w:rPr>
              <w:t>27</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21" w:history="1">
            <w:r w:rsidRPr="00347511">
              <w:rPr>
                <w:rStyle w:val="Hipervnculo"/>
                <w:noProof/>
                <w:lang w:val="es-CR"/>
              </w:rPr>
              <w:t>Costo agrícola</w:t>
            </w:r>
            <w:r>
              <w:rPr>
                <w:noProof/>
                <w:webHidden/>
              </w:rPr>
              <w:tab/>
            </w:r>
            <w:r>
              <w:rPr>
                <w:noProof/>
                <w:webHidden/>
              </w:rPr>
              <w:fldChar w:fldCharType="begin"/>
            </w:r>
            <w:r>
              <w:rPr>
                <w:noProof/>
                <w:webHidden/>
              </w:rPr>
              <w:instrText xml:space="preserve"> PAGEREF _Toc63666221 \h </w:instrText>
            </w:r>
            <w:r>
              <w:rPr>
                <w:noProof/>
                <w:webHidden/>
              </w:rPr>
            </w:r>
            <w:r>
              <w:rPr>
                <w:noProof/>
                <w:webHidden/>
              </w:rPr>
              <w:fldChar w:fldCharType="separate"/>
            </w:r>
            <w:r>
              <w:rPr>
                <w:noProof/>
                <w:webHidden/>
              </w:rPr>
              <w:t>28</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22" w:history="1">
            <w:r w:rsidRPr="00347511">
              <w:rPr>
                <w:rStyle w:val="Hipervnculo"/>
                <w:noProof/>
                <w:lang w:val="es-CR"/>
              </w:rPr>
              <w:t>Costos variables</w:t>
            </w:r>
            <w:r>
              <w:rPr>
                <w:noProof/>
                <w:webHidden/>
              </w:rPr>
              <w:tab/>
            </w:r>
            <w:r>
              <w:rPr>
                <w:noProof/>
                <w:webHidden/>
              </w:rPr>
              <w:fldChar w:fldCharType="begin"/>
            </w:r>
            <w:r>
              <w:rPr>
                <w:noProof/>
                <w:webHidden/>
              </w:rPr>
              <w:instrText xml:space="preserve"> PAGEREF _Toc63666222 \h </w:instrText>
            </w:r>
            <w:r>
              <w:rPr>
                <w:noProof/>
                <w:webHidden/>
              </w:rPr>
            </w:r>
            <w:r>
              <w:rPr>
                <w:noProof/>
                <w:webHidden/>
              </w:rPr>
              <w:fldChar w:fldCharType="separate"/>
            </w:r>
            <w:r>
              <w:rPr>
                <w:noProof/>
                <w:webHidden/>
              </w:rPr>
              <w:t>30</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23" w:history="1">
            <w:r w:rsidRPr="00347511">
              <w:rPr>
                <w:rStyle w:val="Hipervnculo"/>
                <w:noProof/>
                <w:lang w:val="es-CR"/>
              </w:rPr>
              <w:t>Costos fijos</w:t>
            </w:r>
            <w:r>
              <w:rPr>
                <w:noProof/>
                <w:webHidden/>
              </w:rPr>
              <w:tab/>
            </w:r>
            <w:r>
              <w:rPr>
                <w:noProof/>
                <w:webHidden/>
              </w:rPr>
              <w:fldChar w:fldCharType="begin"/>
            </w:r>
            <w:r>
              <w:rPr>
                <w:noProof/>
                <w:webHidden/>
              </w:rPr>
              <w:instrText xml:space="preserve"> PAGEREF _Toc63666223 \h </w:instrText>
            </w:r>
            <w:r>
              <w:rPr>
                <w:noProof/>
                <w:webHidden/>
              </w:rPr>
            </w:r>
            <w:r>
              <w:rPr>
                <w:noProof/>
                <w:webHidden/>
              </w:rPr>
              <w:fldChar w:fldCharType="separate"/>
            </w:r>
            <w:r>
              <w:rPr>
                <w:noProof/>
                <w:webHidden/>
              </w:rPr>
              <w:t>31</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24" w:history="1">
            <w:r w:rsidRPr="00347511">
              <w:rPr>
                <w:rStyle w:val="Hipervnculo"/>
                <w:noProof/>
                <w:lang w:val="es-CR"/>
              </w:rPr>
              <w:t>Administración</w:t>
            </w:r>
            <w:r>
              <w:rPr>
                <w:noProof/>
                <w:webHidden/>
              </w:rPr>
              <w:tab/>
            </w:r>
            <w:r>
              <w:rPr>
                <w:noProof/>
                <w:webHidden/>
              </w:rPr>
              <w:fldChar w:fldCharType="begin"/>
            </w:r>
            <w:r>
              <w:rPr>
                <w:noProof/>
                <w:webHidden/>
              </w:rPr>
              <w:instrText xml:space="preserve"> PAGEREF _Toc63666224 \h </w:instrText>
            </w:r>
            <w:r>
              <w:rPr>
                <w:noProof/>
                <w:webHidden/>
              </w:rPr>
            </w:r>
            <w:r>
              <w:rPr>
                <w:noProof/>
                <w:webHidden/>
              </w:rPr>
              <w:fldChar w:fldCharType="separate"/>
            </w:r>
            <w:r>
              <w:rPr>
                <w:noProof/>
                <w:webHidden/>
              </w:rPr>
              <w:t>32</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25" w:history="1">
            <w:r w:rsidRPr="00347511">
              <w:rPr>
                <w:rStyle w:val="Hipervnculo"/>
                <w:noProof/>
                <w:lang w:val="es-CR"/>
              </w:rPr>
              <w:t>Otros gastos</w:t>
            </w:r>
            <w:r>
              <w:rPr>
                <w:noProof/>
                <w:webHidden/>
              </w:rPr>
              <w:tab/>
            </w:r>
            <w:r>
              <w:rPr>
                <w:noProof/>
                <w:webHidden/>
              </w:rPr>
              <w:fldChar w:fldCharType="begin"/>
            </w:r>
            <w:r>
              <w:rPr>
                <w:noProof/>
                <w:webHidden/>
              </w:rPr>
              <w:instrText xml:space="preserve"> PAGEREF _Toc63666225 \h </w:instrText>
            </w:r>
            <w:r>
              <w:rPr>
                <w:noProof/>
                <w:webHidden/>
              </w:rPr>
            </w:r>
            <w:r>
              <w:rPr>
                <w:noProof/>
                <w:webHidden/>
              </w:rPr>
              <w:fldChar w:fldCharType="separate"/>
            </w:r>
            <w:r>
              <w:rPr>
                <w:noProof/>
                <w:webHidden/>
              </w:rPr>
              <w:t>32</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26" w:history="1">
            <w:r w:rsidRPr="00347511">
              <w:rPr>
                <w:rStyle w:val="Hipervnculo"/>
                <w:noProof/>
                <w:lang w:val="es-CR"/>
              </w:rPr>
              <w:t>Depreciaciones</w:t>
            </w:r>
            <w:r>
              <w:rPr>
                <w:noProof/>
                <w:webHidden/>
              </w:rPr>
              <w:tab/>
            </w:r>
            <w:r>
              <w:rPr>
                <w:noProof/>
                <w:webHidden/>
              </w:rPr>
              <w:fldChar w:fldCharType="begin"/>
            </w:r>
            <w:r>
              <w:rPr>
                <w:noProof/>
                <w:webHidden/>
              </w:rPr>
              <w:instrText xml:space="preserve"> PAGEREF _Toc63666226 \h </w:instrText>
            </w:r>
            <w:r>
              <w:rPr>
                <w:noProof/>
                <w:webHidden/>
              </w:rPr>
            </w:r>
            <w:r>
              <w:rPr>
                <w:noProof/>
                <w:webHidden/>
              </w:rPr>
              <w:fldChar w:fldCharType="separate"/>
            </w:r>
            <w:r>
              <w:rPr>
                <w:noProof/>
                <w:webHidden/>
              </w:rPr>
              <w:t>32</w:t>
            </w:r>
            <w:r>
              <w:rPr>
                <w:noProof/>
                <w:webHidden/>
              </w:rPr>
              <w:fldChar w:fldCharType="end"/>
            </w:r>
          </w:hyperlink>
        </w:p>
        <w:p w:rsidR="001D33D5" w:rsidRDefault="001D33D5">
          <w:pPr>
            <w:pStyle w:val="TDC3"/>
            <w:rPr>
              <w:rFonts w:asciiTheme="minorHAnsi" w:eastAsiaTheme="minorEastAsia" w:hAnsiTheme="minorHAnsi" w:cstheme="minorBidi"/>
              <w:noProof/>
              <w:sz w:val="22"/>
              <w:szCs w:val="22"/>
              <w:lang w:val="es-CR" w:eastAsia="es-CR"/>
            </w:rPr>
          </w:pPr>
          <w:hyperlink w:anchor="_Toc63666227" w:history="1">
            <w:r w:rsidRPr="00347511">
              <w:rPr>
                <w:rStyle w:val="Hipervnculo"/>
                <w:noProof/>
                <w:lang w:val="es-CR"/>
              </w:rPr>
              <w:t>Financiamiento</w:t>
            </w:r>
            <w:r>
              <w:rPr>
                <w:noProof/>
                <w:webHidden/>
              </w:rPr>
              <w:tab/>
            </w:r>
            <w:r>
              <w:rPr>
                <w:noProof/>
                <w:webHidden/>
              </w:rPr>
              <w:fldChar w:fldCharType="begin"/>
            </w:r>
            <w:r>
              <w:rPr>
                <w:noProof/>
                <w:webHidden/>
              </w:rPr>
              <w:instrText xml:space="preserve"> PAGEREF _Toc63666227 \h </w:instrText>
            </w:r>
            <w:r>
              <w:rPr>
                <w:noProof/>
                <w:webHidden/>
              </w:rPr>
            </w:r>
            <w:r>
              <w:rPr>
                <w:noProof/>
                <w:webHidden/>
              </w:rPr>
              <w:fldChar w:fldCharType="separate"/>
            </w:r>
            <w:r>
              <w:rPr>
                <w:noProof/>
                <w:webHidden/>
              </w:rPr>
              <w:t>32</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28" w:history="1">
            <w:r w:rsidRPr="00347511">
              <w:rPr>
                <w:rStyle w:val="Hipervnculo"/>
                <w:noProof/>
                <w:lang w:val="es-CR"/>
              </w:rPr>
              <w:t>Costo de capital</w:t>
            </w:r>
            <w:r>
              <w:rPr>
                <w:noProof/>
                <w:webHidden/>
              </w:rPr>
              <w:tab/>
            </w:r>
            <w:r>
              <w:rPr>
                <w:noProof/>
                <w:webHidden/>
              </w:rPr>
              <w:fldChar w:fldCharType="begin"/>
            </w:r>
            <w:r>
              <w:rPr>
                <w:noProof/>
                <w:webHidden/>
              </w:rPr>
              <w:instrText xml:space="preserve"> PAGEREF _Toc63666228 \h </w:instrText>
            </w:r>
            <w:r>
              <w:rPr>
                <w:noProof/>
                <w:webHidden/>
              </w:rPr>
            </w:r>
            <w:r>
              <w:rPr>
                <w:noProof/>
                <w:webHidden/>
              </w:rPr>
              <w:fldChar w:fldCharType="separate"/>
            </w:r>
            <w:r>
              <w:rPr>
                <w:noProof/>
                <w:webHidden/>
              </w:rPr>
              <w:t>32</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29" w:history="1">
            <w:r w:rsidRPr="00347511">
              <w:rPr>
                <w:rStyle w:val="Hipervnculo"/>
                <w:noProof/>
                <w:lang w:val="es-CR"/>
              </w:rPr>
              <w:t>Actualización del precio</w:t>
            </w:r>
            <w:r>
              <w:rPr>
                <w:noProof/>
                <w:webHidden/>
              </w:rPr>
              <w:tab/>
            </w:r>
            <w:r>
              <w:rPr>
                <w:noProof/>
                <w:webHidden/>
              </w:rPr>
              <w:fldChar w:fldCharType="begin"/>
            </w:r>
            <w:r>
              <w:rPr>
                <w:noProof/>
                <w:webHidden/>
              </w:rPr>
              <w:instrText xml:space="preserve"> PAGEREF _Toc63666229 \h </w:instrText>
            </w:r>
            <w:r>
              <w:rPr>
                <w:noProof/>
                <w:webHidden/>
              </w:rPr>
            </w:r>
            <w:r>
              <w:rPr>
                <w:noProof/>
                <w:webHidden/>
              </w:rPr>
              <w:fldChar w:fldCharType="separate"/>
            </w:r>
            <w:r>
              <w:rPr>
                <w:noProof/>
                <w:webHidden/>
              </w:rPr>
              <w:t>33</w:t>
            </w:r>
            <w:r>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230" w:history="1">
            <w:r w:rsidRPr="00347511">
              <w:rPr>
                <w:rStyle w:val="Hipervnculo"/>
                <w:noProof/>
              </w:rPr>
              <w:t>Costo de industrialización del aceite crudo de palma por tonelada métrica</w:t>
            </w:r>
            <w:r>
              <w:rPr>
                <w:noProof/>
                <w:webHidden/>
              </w:rPr>
              <w:tab/>
            </w:r>
            <w:r>
              <w:rPr>
                <w:noProof/>
                <w:webHidden/>
              </w:rPr>
              <w:fldChar w:fldCharType="begin"/>
            </w:r>
            <w:r>
              <w:rPr>
                <w:noProof/>
                <w:webHidden/>
              </w:rPr>
              <w:instrText xml:space="preserve"> PAGEREF _Toc63666230 \h </w:instrText>
            </w:r>
            <w:r>
              <w:rPr>
                <w:noProof/>
                <w:webHidden/>
              </w:rPr>
            </w:r>
            <w:r>
              <w:rPr>
                <w:noProof/>
                <w:webHidden/>
              </w:rPr>
              <w:fldChar w:fldCharType="separate"/>
            </w:r>
            <w:r>
              <w:rPr>
                <w:noProof/>
                <w:webHidden/>
              </w:rPr>
              <w:t>34</w:t>
            </w:r>
            <w:r>
              <w:rPr>
                <w:noProof/>
                <w:webHidden/>
              </w:rPr>
              <w:fldChar w:fldCharType="end"/>
            </w:r>
          </w:hyperlink>
        </w:p>
        <w:p w:rsidR="001D33D5" w:rsidRDefault="001D33D5">
          <w:pPr>
            <w:pStyle w:val="TDC1"/>
            <w:rPr>
              <w:rFonts w:asciiTheme="minorHAnsi" w:eastAsiaTheme="minorEastAsia" w:hAnsiTheme="minorHAnsi" w:cstheme="minorBidi"/>
              <w:noProof/>
              <w:sz w:val="22"/>
              <w:szCs w:val="22"/>
              <w:lang w:val="es-CR" w:eastAsia="es-CR"/>
            </w:rPr>
          </w:pPr>
          <w:hyperlink w:anchor="_Toc63666231" w:history="1">
            <w:r w:rsidRPr="00347511">
              <w:rPr>
                <w:rStyle w:val="Hipervnculo"/>
                <w:noProof/>
              </w:rPr>
              <w:t>Conclusiones y recomendaciones</w:t>
            </w:r>
            <w:r>
              <w:rPr>
                <w:noProof/>
                <w:webHidden/>
              </w:rPr>
              <w:tab/>
            </w:r>
            <w:r>
              <w:rPr>
                <w:noProof/>
                <w:webHidden/>
              </w:rPr>
              <w:fldChar w:fldCharType="begin"/>
            </w:r>
            <w:r>
              <w:rPr>
                <w:noProof/>
                <w:webHidden/>
              </w:rPr>
              <w:instrText xml:space="preserve"> PAGEREF _Toc63666231 \h </w:instrText>
            </w:r>
            <w:r>
              <w:rPr>
                <w:noProof/>
                <w:webHidden/>
              </w:rPr>
            </w:r>
            <w:r>
              <w:rPr>
                <w:noProof/>
                <w:webHidden/>
              </w:rPr>
              <w:fldChar w:fldCharType="separate"/>
            </w:r>
            <w:r>
              <w:rPr>
                <w:noProof/>
                <w:webHidden/>
              </w:rPr>
              <w:t>37</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32" w:history="1">
            <w:r w:rsidRPr="00347511">
              <w:rPr>
                <w:rStyle w:val="Hipervnculo"/>
                <w:noProof/>
                <w:lang w:val="es-CR"/>
              </w:rPr>
              <w:t>Conclusiones:</w:t>
            </w:r>
            <w:r>
              <w:rPr>
                <w:noProof/>
                <w:webHidden/>
              </w:rPr>
              <w:tab/>
            </w:r>
            <w:r>
              <w:rPr>
                <w:noProof/>
                <w:webHidden/>
              </w:rPr>
              <w:fldChar w:fldCharType="begin"/>
            </w:r>
            <w:r>
              <w:rPr>
                <w:noProof/>
                <w:webHidden/>
              </w:rPr>
              <w:instrText xml:space="preserve"> PAGEREF _Toc63666232 \h </w:instrText>
            </w:r>
            <w:r>
              <w:rPr>
                <w:noProof/>
                <w:webHidden/>
              </w:rPr>
            </w:r>
            <w:r>
              <w:rPr>
                <w:noProof/>
                <w:webHidden/>
              </w:rPr>
              <w:fldChar w:fldCharType="separate"/>
            </w:r>
            <w:r>
              <w:rPr>
                <w:noProof/>
                <w:webHidden/>
              </w:rPr>
              <w:t>37</w:t>
            </w:r>
            <w:r>
              <w:rPr>
                <w:noProof/>
                <w:webHidden/>
              </w:rPr>
              <w:fldChar w:fldCharType="end"/>
            </w:r>
          </w:hyperlink>
        </w:p>
        <w:p w:rsidR="001D33D5" w:rsidRDefault="001D33D5">
          <w:pPr>
            <w:pStyle w:val="TDC2"/>
            <w:tabs>
              <w:tab w:val="right" w:leader="dot" w:pos="8494"/>
            </w:tabs>
            <w:rPr>
              <w:rFonts w:asciiTheme="minorHAnsi" w:eastAsiaTheme="minorEastAsia" w:hAnsiTheme="minorHAnsi" w:cstheme="minorBidi"/>
              <w:noProof/>
              <w:sz w:val="22"/>
              <w:szCs w:val="22"/>
              <w:lang w:val="es-CR" w:eastAsia="es-CR"/>
            </w:rPr>
          </w:pPr>
          <w:hyperlink w:anchor="_Toc63666233" w:history="1">
            <w:r w:rsidRPr="00347511">
              <w:rPr>
                <w:rStyle w:val="Hipervnculo"/>
                <w:noProof/>
                <w:lang w:val="es-CR"/>
              </w:rPr>
              <w:t>Recomendaciones:</w:t>
            </w:r>
            <w:r>
              <w:rPr>
                <w:noProof/>
                <w:webHidden/>
              </w:rPr>
              <w:tab/>
            </w:r>
            <w:r>
              <w:rPr>
                <w:noProof/>
                <w:webHidden/>
              </w:rPr>
              <w:fldChar w:fldCharType="begin"/>
            </w:r>
            <w:r>
              <w:rPr>
                <w:noProof/>
                <w:webHidden/>
              </w:rPr>
              <w:instrText xml:space="preserve"> PAGEREF _Toc63666233 \h </w:instrText>
            </w:r>
            <w:r>
              <w:rPr>
                <w:noProof/>
                <w:webHidden/>
              </w:rPr>
            </w:r>
            <w:r>
              <w:rPr>
                <w:noProof/>
                <w:webHidden/>
              </w:rPr>
              <w:fldChar w:fldCharType="separate"/>
            </w:r>
            <w:r>
              <w:rPr>
                <w:noProof/>
                <w:webHidden/>
              </w:rPr>
              <w:t>42</w:t>
            </w:r>
            <w:r>
              <w:rPr>
                <w:noProof/>
                <w:webHidden/>
              </w:rPr>
              <w:fldChar w:fldCharType="end"/>
            </w:r>
          </w:hyperlink>
        </w:p>
        <w:p w:rsidR="0088405B" w:rsidRDefault="0088405B">
          <w:r w:rsidRPr="00653869">
            <w:rPr>
              <w:rFonts w:ascii="Arial" w:hAnsi="Arial" w:cs="Arial"/>
              <w:b/>
              <w:bCs/>
            </w:rPr>
            <w:fldChar w:fldCharType="end"/>
          </w:r>
        </w:p>
      </w:sdtContent>
    </w:sdt>
    <w:p w:rsidR="00A33823" w:rsidRDefault="00A33823" w:rsidP="00A33823">
      <w:pPr>
        <w:jc w:val="both"/>
        <w:rPr>
          <w:rFonts w:eastAsiaTheme="majorEastAsia"/>
          <w:lang w:val="es-CR" w:eastAsia="es-CR"/>
        </w:rPr>
      </w:pPr>
      <w:r w:rsidRPr="00C22745">
        <w:rPr>
          <w:rFonts w:asciiTheme="majorHAnsi" w:eastAsiaTheme="majorEastAsia" w:hAnsiTheme="majorHAnsi" w:cstheme="majorBidi"/>
          <w:color w:val="2E74B5" w:themeColor="accent1" w:themeShade="BF"/>
          <w:sz w:val="32"/>
          <w:szCs w:val="32"/>
          <w:lang w:eastAsia="es-CR"/>
        </w:rPr>
        <w:t>Índice de cuadros</w:t>
      </w:r>
    </w:p>
    <w:p w:rsidR="00A33823" w:rsidRDefault="00A33823" w:rsidP="00A33823">
      <w:pPr>
        <w:jc w:val="both"/>
        <w:rPr>
          <w:rFonts w:eastAsiaTheme="majorEastAsia"/>
          <w:lang w:val="es-CR" w:eastAsia="es-CR"/>
        </w:rPr>
      </w:pPr>
    </w:p>
    <w:p w:rsidR="001D33D5" w:rsidRDefault="00C22745">
      <w:pPr>
        <w:pStyle w:val="Tabladeilustraciones"/>
        <w:tabs>
          <w:tab w:val="right" w:leader="dot" w:pos="8494"/>
        </w:tabs>
        <w:rPr>
          <w:rFonts w:asciiTheme="minorHAnsi" w:eastAsiaTheme="minorEastAsia" w:hAnsiTheme="minorHAnsi" w:cstheme="minorBidi"/>
          <w:noProof/>
          <w:sz w:val="22"/>
          <w:szCs w:val="22"/>
          <w:lang w:val="es-CR" w:eastAsia="es-CR"/>
        </w:rPr>
      </w:pPr>
      <w:r w:rsidRPr="00E911AC">
        <w:rPr>
          <w:rFonts w:ascii="Arial" w:eastAsiaTheme="majorEastAsia" w:hAnsi="Arial" w:cs="Arial"/>
          <w:color w:val="2E74B5" w:themeColor="accent1" w:themeShade="BF"/>
          <w:sz w:val="32"/>
          <w:szCs w:val="32"/>
          <w:lang w:val="es-CR" w:eastAsia="es-CR"/>
        </w:rPr>
        <w:fldChar w:fldCharType="begin"/>
      </w:r>
      <w:r w:rsidRPr="00E911AC">
        <w:rPr>
          <w:rFonts w:ascii="Arial" w:eastAsiaTheme="majorEastAsia" w:hAnsi="Arial" w:cs="Arial"/>
          <w:color w:val="2E74B5" w:themeColor="accent1" w:themeShade="BF"/>
          <w:sz w:val="32"/>
          <w:szCs w:val="32"/>
          <w:lang w:val="es-CR" w:eastAsia="es-CR"/>
        </w:rPr>
        <w:instrText xml:space="preserve"> TOC \h \z \c "Cuadro" </w:instrText>
      </w:r>
      <w:r w:rsidRPr="00E911AC">
        <w:rPr>
          <w:rFonts w:ascii="Arial" w:eastAsiaTheme="majorEastAsia" w:hAnsi="Arial" w:cs="Arial"/>
          <w:color w:val="2E74B5" w:themeColor="accent1" w:themeShade="BF"/>
          <w:sz w:val="32"/>
          <w:szCs w:val="32"/>
          <w:lang w:val="es-CR" w:eastAsia="es-CR"/>
        </w:rPr>
        <w:fldChar w:fldCharType="separate"/>
      </w:r>
      <w:hyperlink r:id="rId9" w:anchor="_Toc63666234" w:history="1">
        <w:r w:rsidR="001D33D5" w:rsidRPr="00B40982">
          <w:rPr>
            <w:rStyle w:val="Hipervnculo"/>
            <w:rFonts w:ascii="Arial" w:hAnsi="Arial" w:cs="Arial"/>
            <w:noProof/>
          </w:rPr>
          <w:t>Cuadro 1. Resumen estadístico: precio al productor y precio CIF Rotterdam</w:t>
        </w:r>
        <w:r w:rsidR="001D33D5">
          <w:rPr>
            <w:noProof/>
            <w:webHidden/>
          </w:rPr>
          <w:tab/>
        </w:r>
        <w:r w:rsidR="001D33D5">
          <w:rPr>
            <w:noProof/>
            <w:webHidden/>
          </w:rPr>
          <w:fldChar w:fldCharType="begin"/>
        </w:r>
        <w:r w:rsidR="001D33D5">
          <w:rPr>
            <w:noProof/>
            <w:webHidden/>
          </w:rPr>
          <w:instrText xml:space="preserve"> PAGEREF _Toc63666234 \h </w:instrText>
        </w:r>
        <w:r w:rsidR="001D33D5">
          <w:rPr>
            <w:noProof/>
            <w:webHidden/>
          </w:rPr>
        </w:r>
        <w:r w:rsidR="001D33D5">
          <w:rPr>
            <w:noProof/>
            <w:webHidden/>
          </w:rPr>
          <w:fldChar w:fldCharType="separate"/>
        </w:r>
        <w:r w:rsidR="001D33D5">
          <w:rPr>
            <w:noProof/>
            <w:webHidden/>
          </w:rPr>
          <w:t>18</w:t>
        </w:r>
        <w:r w:rsidR="001D33D5">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35" w:history="1">
        <w:r w:rsidRPr="00B40982">
          <w:rPr>
            <w:rStyle w:val="Hipervnculo"/>
            <w:rFonts w:ascii="Arial" w:hAnsi="Arial" w:cs="Arial"/>
            <w:bCs/>
            <w:noProof/>
            <w:lang w:val="es-CR"/>
          </w:rPr>
          <w:t>Cuadro 2. Resumen estadístico del porcentaje pagado al productor con respecto al precio CIF Rotterdam.</w:t>
        </w:r>
        <w:r>
          <w:rPr>
            <w:noProof/>
            <w:webHidden/>
          </w:rPr>
          <w:tab/>
        </w:r>
        <w:r>
          <w:rPr>
            <w:noProof/>
            <w:webHidden/>
          </w:rPr>
          <w:fldChar w:fldCharType="begin"/>
        </w:r>
        <w:r>
          <w:rPr>
            <w:noProof/>
            <w:webHidden/>
          </w:rPr>
          <w:instrText xml:space="preserve"> PAGEREF _Toc63666235 \h </w:instrText>
        </w:r>
        <w:r>
          <w:rPr>
            <w:noProof/>
            <w:webHidden/>
          </w:rPr>
        </w:r>
        <w:r>
          <w:rPr>
            <w:noProof/>
            <w:webHidden/>
          </w:rPr>
          <w:fldChar w:fldCharType="separate"/>
        </w:r>
        <w:r>
          <w:rPr>
            <w:noProof/>
            <w:webHidden/>
          </w:rPr>
          <w:t>20</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36" w:history="1">
        <w:r w:rsidRPr="00B40982">
          <w:rPr>
            <w:rStyle w:val="Hipervnculo"/>
            <w:rFonts w:ascii="Arial" w:hAnsi="Arial" w:cs="Arial"/>
            <w:noProof/>
            <w:lang w:val="es-CR"/>
          </w:rPr>
          <w:t>Cuadro 3. Parámetro de calidad de la fruta en racimos</w:t>
        </w:r>
        <w:r>
          <w:rPr>
            <w:noProof/>
            <w:webHidden/>
          </w:rPr>
          <w:tab/>
        </w:r>
        <w:r>
          <w:rPr>
            <w:noProof/>
            <w:webHidden/>
          </w:rPr>
          <w:fldChar w:fldCharType="begin"/>
        </w:r>
        <w:r>
          <w:rPr>
            <w:noProof/>
            <w:webHidden/>
          </w:rPr>
          <w:instrText xml:space="preserve"> PAGEREF _Toc63666236 \h </w:instrText>
        </w:r>
        <w:r>
          <w:rPr>
            <w:noProof/>
            <w:webHidden/>
          </w:rPr>
        </w:r>
        <w:r>
          <w:rPr>
            <w:noProof/>
            <w:webHidden/>
          </w:rPr>
          <w:fldChar w:fldCharType="separate"/>
        </w:r>
        <w:r>
          <w:rPr>
            <w:noProof/>
            <w:webHidden/>
          </w:rPr>
          <w:t>22</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37" w:history="1">
        <w:r w:rsidRPr="00B40982">
          <w:rPr>
            <w:rStyle w:val="Hipervnculo"/>
            <w:rFonts w:ascii="Arial" w:hAnsi="Arial" w:cs="Arial"/>
            <w:noProof/>
            <w:lang w:val="es-CR"/>
          </w:rPr>
          <w:t>Cuadro 4. Modelo de pago de Coopeagropal</w:t>
        </w:r>
        <w:r>
          <w:rPr>
            <w:noProof/>
            <w:webHidden/>
          </w:rPr>
          <w:tab/>
        </w:r>
        <w:r>
          <w:rPr>
            <w:noProof/>
            <w:webHidden/>
          </w:rPr>
          <w:fldChar w:fldCharType="begin"/>
        </w:r>
        <w:r>
          <w:rPr>
            <w:noProof/>
            <w:webHidden/>
          </w:rPr>
          <w:instrText xml:space="preserve"> PAGEREF _Toc63666237 \h </w:instrText>
        </w:r>
        <w:r>
          <w:rPr>
            <w:noProof/>
            <w:webHidden/>
          </w:rPr>
        </w:r>
        <w:r>
          <w:rPr>
            <w:noProof/>
            <w:webHidden/>
          </w:rPr>
          <w:fldChar w:fldCharType="separate"/>
        </w:r>
        <w:r>
          <w:rPr>
            <w:noProof/>
            <w:webHidden/>
          </w:rPr>
          <w:t>25</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38" w:history="1">
        <w:r w:rsidRPr="00B40982">
          <w:rPr>
            <w:rStyle w:val="Hipervnculo"/>
            <w:rFonts w:ascii="Arial" w:eastAsia="Calibri" w:hAnsi="Arial" w:cs="Arial"/>
            <w:noProof/>
            <w:lang w:eastAsia="en-US"/>
          </w:rPr>
          <w:t>Cuadro 5. Precio de compra fruta promedio de palma aceitera según industria, años 2016-2019</w:t>
        </w:r>
        <w:r>
          <w:rPr>
            <w:noProof/>
            <w:webHidden/>
          </w:rPr>
          <w:tab/>
        </w:r>
        <w:r>
          <w:rPr>
            <w:noProof/>
            <w:webHidden/>
          </w:rPr>
          <w:fldChar w:fldCharType="begin"/>
        </w:r>
        <w:r>
          <w:rPr>
            <w:noProof/>
            <w:webHidden/>
          </w:rPr>
          <w:instrText xml:space="preserve"> PAGEREF _Toc63666238 \h </w:instrText>
        </w:r>
        <w:r>
          <w:rPr>
            <w:noProof/>
            <w:webHidden/>
          </w:rPr>
        </w:r>
        <w:r>
          <w:rPr>
            <w:noProof/>
            <w:webHidden/>
          </w:rPr>
          <w:fldChar w:fldCharType="separate"/>
        </w:r>
        <w:r>
          <w:rPr>
            <w:noProof/>
            <w:webHidden/>
          </w:rPr>
          <w:t>26</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39" w:history="1">
        <w:r w:rsidRPr="00B40982">
          <w:rPr>
            <w:rStyle w:val="Hipervnculo"/>
            <w:rFonts w:ascii="Arial" w:eastAsia="Calibri" w:hAnsi="Arial" w:cs="Arial"/>
            <w:bCs/>
            <w:noProof/>
            <w:lang w:val="es-CR" w:eastAsia="en-US"/>
          </w:rPr>
          <w:t>Cuadro 6. Resumen de producción de palma aceitera. Costo agrícola /HA/año</w:t>
        </w:r>
        <w:r>
          <w:rPr>
            <w:noProof/>
            <w:webHidden/>
          </w:rPr>
          <w:tab/>
        </w:r>
        <w:r>
          <w:rPr>
            <w:noProof/>
            <w:webHidden/>
          </w:rPr>
          <w:fldChar w:fldCharType="begin"/>
        </w:r>
        <w:r>
          <w:rPr>
            <w:noProof/>
            <w:webHidden/>
          </w:rPr>
          <w:instrText xml:space="preserve"> PAGEREF _Toc63666239 \h </w:instrText>
        </w:r>
        <w:r>
          <w:rPr>
            <w:noProof/>
            <w:webHidden/>
          </w:rPr>
        </w:r>
        <w:r>
          <w:rPr>
            <w:noProof/>
            <w:webHidden/>
          </w:rPr>
          <w:fldChar w:fldCharType="separate"/>
        </w:r>
        <w:r>
          <w:rPr>
            <w:noProof/>
            <w:webHidden/>
          </w:rPr>
          <w:t>29</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0" w:history="1">
        <w:r w:rsidRPr="00B40982">
          <w:rPr>
            <w:rStyle w:val="Hipervnculo"/>
            <w:rFonts w:ascii="Arial" w:eastAsia="Calibri" w:hAnsi="Arial" w:cs="Arial"/>
            <w:bCs/>
            <w:noProof/>
            <w:lang w:val="es-CR" w:eastAsia="en-US"/>
          </w:rPr>
          <w:t>Cuadro 7. Estimación de costos variables</w:t>
        </w:r>
        <w:r w:rsidRPr="00B40982">
          <w:rPr>
            <w:rStyle w:val="Hipervnculo"/>
            <w:rFonts w:ascii="Arial" w:hAnsi="Arial" w:cs="Arial"/>
            <w:bCs/>
            <w:noProof/>
            <w:lang w:val="es-CR"/>
          </w:rPr>
          <w:t>.</w:t>
        </w:r>
        <w:r>
          <w:rPr>
            <w:noProof/>
            <w:webHidden/>
          </w:rPr>
          <w:tab/>
        </w:r>
        <w:r>
          <w:rPr>
            <w:noProof/>
            <w:webHidden/>
          </w:rPr>
          <w:fldChar w:fldCharType="begin"/>
        </w:r>
        <w:r>
          <w:rPr>
            <w:noProof/>
            <w:webHidden/>
          </w:rPr>
          <w:instrText xml:space="preserve"> PAGEREF _Toc63666240 \h </w:instrText>
        </w:r>
        <w:r>
          <w:rPr>
            <w:noProof/>
            <w:webHidden/>
          </w:rPr>
        </w:r>
        <w:r>
          <w:rPr>
            <w:noProof/>
            <w:webHidden/>
          </w:rPr>
          <w:fldChar w:fldCharType="separate"/>
        </w:r>
        <w:r>
          <w:rPr>
            <w:noProof/>
            <w:webHidden/>
          </w:rPr>
          <w:t>30</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1" w:history="1">
        <w:r w:rsidRPr="00B40982">
          <w:rPr>
            <w:rStyle w:val="Hipervnculo"/>
            <w:rFonts w:ascii="Arial" w:eastAsia="Calibri" w:hAnsi="Arial" w:cs="Arial"/>
            <w:bCs/>
            <w:noProof/>
            <w:lang w:val="es-CR" w:eastAsia="en-US"/>
          </w:rPr>
          <w:t>Cuadro 8. Estimación de costos fijos</w:t>
        </w:r>
        <w:r>
          <w:rPr>
            <w:noProof/>
            <w:webHidden/>
          </w:rPr>
          <w:tab/>
        </w:r>
        <w:r>
          <w:rPr>
            <w:noProof/>
            <w:webHidden/>
          </w:rPr>
          <w:fldChar w:fldCharType="begin"/>
        </w:r>
        <w:r>
          <w:rPr>
            <w:noProof/>
            <w:webHidden/>
          </w:rPr>
          <w:instrText xml:space="preserve"> PAGEREF _Toc63666241 \h </w:instrText>
        </w:r>
        <w:r>
          <w:rPr>
            <w:noProof/>
            <w:webHidden/>
          </w:rPr>
        </w:r>
        <w:r>
          <w:rPr>
            <w:noProof/>
            <w:webHidden/>
          </w:rPr>
          <w:fldChar w:fldCharType="separate"/>
        </w:r>
        <w:r>
          <w:rPr>
            <w:noProof/>
            <w:webHidden/>
          </w:rPr>
          <w:t>31</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2" w:history="1">
        <w:r w:rsidRPr="00B40982">
          <w:rPr>
            <w:rStyle w:val="Hipervnculo"/>
            <w:rFonts w:ascii="Arial" w:eastAsia="Calibri" w:hAnsi="Arial" w:cs="Arial"/>
            <w:bCs/>
            <w:noProof/>
            <w:lang w:val="es-CR" w:eastAsia="en-US"/>
          </w:rPr>
          <w:t>Cuadro 9. Cálculo del costo de capital</w:t>
        </w:r>
        <w:r>
          <w:rPr>
            <w:noProof/>
            <w:webHidden/>
          </w:rPr>
          <w:tab/>
        </w:r>
        <w:r>
          <w:rPr>
            <w:noProof/>
            <w:webHidden/>
          </w:rPr>
          <w:fldChar w:fldCharType="begin"/>
        </w:r>
        <w:r>
          <w:rPr>
            <w:noProof/>
            <w:webHidden/>
          </w:rPr>
          <w:instrText xml:space="preserve"> PAGEREF _Toc63666242 \h </w:instrText>
        </w:r>
        <w:r>
          <w:rPr>
            <w:noProof/>
            <w:webHidden/>
          </w:rPr>
        </w:r>
        <w:r>
          <w:rPr>
            <w:noProof/>
            <w:webHidden/>
          </w:rPr>
          <w:fldChar w:fldCharType="separate"/>
        </w:r>
        <w:r>
          <w:rPr>
            <w:noProof/>
            <w:webHidden/>
          </w:rPr>
          <w:t>33</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3" w:history="1">
        <w:r w:rsidRPr="00B40982">
          <w:rPr>
            <w:rStyle w:val="Hipervnculo"/>
            <w:rFonts w:ascii="Arial" w:eastAsia="Calibri" w:hAnsi="Arial" w:cs="Arial"/>
            <w:bCs/>
            <w:noProof/>
            <w:lang w:val="es-CR" w:eastAsia="en-US"/>
          </w:rPr>
          <w:t>Cuadro 10. Costo del capital</w:t>
        </w:r>
        <w:r>
          <w:rPr>
            <w:noProof/>
            <w:webHidden/>
          </w:rPr>
          <w:tab/>
        </w:r>
        <w:r>
          <w:rPr>
            <w:noProof/>
            <w:webHidden/>
          </w:rPr>
          <w:fldChar w:fldCharType="begin"/>
        </w:r>
        <w:r>
          <w:rPr>
            <w:noProof/>
            <w:webHidden/>
          </w:rPr>
          <w:instrText xml:space="preserve"> PAGEREF _Toc63666243 \h </w:instrText>
        </w:r>
        <w:r>
          <w:rPr>
            <w:noProof/>
            <w:webHidden/>
          </w:rPr>
        </w:r>
        <w:r>
          <w:rPr>
            <w:noProof/>
            <w:webHidden/>
          </w:rPr>
          <w:fldChar w:fldCharType="separate"/>
        </w:r>
        <w:r>
          <w:rPr>
            <w:noProof/>
            <w:webHidden/>
          </w:rPr>
          <w:t>33</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4" w:history="1">
        <w:r w:rsidRPr="00B40982">
          <w:rPr>
            <w:rStyle w:val="Hipervnculo"/>
            <w:rFonts w:ascii="Arial" w:eastAsia="Calibri" w:hAnsi="Arial" w:cs="Arial"/>
            <w:bCs/>
            <w:noProof/>
            <w:lang w:val="es-CR" w:eastAsia="en-US"/>
          </w:rPr>
          <w:t>Cuadro 11. Resumen y precio final de la palma aceitera.</w:t>
        </w:r>
        <w:r>
          <w:rPr>
            <w:noProof/>
            <w:webHidden/>
          </w:rPr>
          <w:tab/>
        </w:r>
        <w:r>
          <w:rPr>
            <w:noProof/>
            <w:webHidden/>
          </w:rPr>
          <w:fldChar w:fldCharType="begin"/>
        </w:r>
        <w:r>
          <w:rPr>
            <w:noProof/>
            <w:webHidden/>
          </w:rPr>
          <w:instrText xml:space="preserve"> PAGEREF _Toc63666244 \h </w:instrText>
        </w:r>
        <w:r>
          <w:rPr>
            <w:noProof/>
            <w:webHidden/>
          </w:rPr>
        </w:r>
        <w:r>
          <w:rPr>
            <w:noProof/>
            <w:webHidden/>
          </w:rPr>
          <w:fldChar w:fldCharType="separate"/>
        </w:r>
        <w:r>
          <w:rPr>
            <w:noProof/>
            <w:webHidden/>
          </w:rPr>
          <w:t>34</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5" w:history="1">
        <w:r w:rsidRPr="00B40982">
          <w:rPr>
            <w:rStyle w:val="Hipervnculo"/>
            <w:rFonts w:ascii="Arial" w:eastAsia="Calibri" w:hAnsi="Arial" w:cs="Arial"/>
            <w:bCs/>
            <w:noProof/>
            <w:lang w:val="es-CR" w:eastAsia="en-US"/>
          </w:rPr>
          <w:t>Cuadro 12. Costos no agrícolas de una planta extractora, en el año 2019</w:t>
        </w:r>
        <w:r>
          <w:rPr>
            <w:noProof/>
            <w:webHidden/>
          </w:rPr>
          <w:tab/>
        </w:r>
        <w:r>
          <w:rPr>
            <w:noProof/>
            <w:webHidden/>
          </w:rPr>
          <w:fldChar w:fldCharType="begin"/>
        </w:r>
        <w:r>
          <w:rPr>
            <w:noProof/>
            <w:webHidden/>
          </w:rPr>
          <w:instrText xml:space="preserve"> PAGEREF _Toc63666245 \h </w:instrText>
        </w:r>
        <w:r>
          <w:rPr>
            <w:noProof/>
            <w:webHidden/>
          </w:rPr>
        </w:r>
        <w:r>
          <w:rPr>
            <w:noProof/>
            <w:webHidden/>
          </w:rPr>
          <w:fldChar w:fldCharType="separate"/>
        </w:r>
        <w:r>
          <w:rPr>
            <w:noProof/>
            <w:webHidden/>
          </w:rPr>
          <w:t>35</w:t>
        </w:r>
        <w:r>
          <w:rPr>
            <w:noProof/>
            <w:webHidden/>
          </w:rPr>
          <w:fldChar w:fldCharType="end"/>
        </w:r>
      </w:hyperlink>
    </w:p>
    <w:p w:rsidR="008C4E0E" w:rsidRDefault="00C22745" w:rsidP="00E911AC">
      <w:pPr>
        <w:spacing w:line="276" w:lineRule="auto"/>
        <w:jc w:val="both"/>
        <w:rPr>
          <w:rFonts w:ascii="Arial" w:eastAsiaTheme="majorEastAsia" w:hAnsi="Arial" w:cs="Arial"/>
          <w:color w:val="2E74B5" w:themeColor="accent1" w:themeShade="BF"/>
          <w:sz w:val="32"/>
          <w:szCs w:val="32"/>
          <w:lang w:val="es-CR" w:eastAsia="es-CR"/>
        </w:rPr>
      </w:pPr>
      <w:r w:rsidRPr="00E911AC">
        <w:rPr>
          <w:rFonts w:ascii="Arial" w:eastAsiaTheme="majorEastAsia" w:hAnsi="Arial" w:cs="Arial"/>
          <w:color w:val="2E74B5" w:themeColor="accent1" w:themeShade="BF"/>
          <w:sz w:val="32"/>
          <w:szCs w:val="32"/>
          <w:lang w:val="es-CR" w:eastAsia="es-CR"/>
        </w:rPr>
        <w:fldChar w:fldCharType="end"/>
      </w:r>
    </w:p>
    <w:p w:rsidR="00A33823" w:rsidRPr="00E911AC" w:rsidRDefault="00A33823" w:rsidP="00E911AC">
      <w:pPr>
        <w:spacing w:line="276" w:lineRule="auto"/>
        <w:jc w:val="both"/>
        <w:rPr>
          <w:rFonts w:ascii="Arial" w:eastAsiaTheme="majorEastAsia" w:hAnsi="Arial" w:cs="Arial"/>
          <w:color w:val="2E74B5" w:themeColor="accent1" w:themeShade="BF"/>
          <w:sz w:val="32"/>
          <w:szCs w:val="32"/>
          <w:lang w:val="es-CR" w:eastAsia="es-CR"/>
        </w:rPr>
      </w:pPr>
      <w:r w:rsidRPr="00C22745">
        <w:rPr>
          <w:rFonts w:asciiTheme="majorHAnsi" w:eastAsiaTheme="majorEastAsia" w:hAnsiTheme="majorHAnsi" w:cstheme="majorBidi"/>
          <w:color w:val="2E74B5" w:themeColor="accent1" w:themeShade="BF"/>
          <w:sz w:val="32"/>
          <w:szCs w:val="32"/>
          <w:lang w:eastAsia="es-CR"/>
        </w:rPr>
        <w:t xml:space="preserve">Índice de gráficos </w:t>
      </w:r>
    </w:p>
    <w:p w:rsidR="00A33823" w:rsidRDefault="00A33823" w:rsidP="00A33823">
      <w:pPr>
        <w:jc w:val="both"/>
        <w:rPr>
          <w:rFonts w:eastAsiaTheme="majorEastAsia"/>
          <w:lang w:val="es-CR" w:eastAsia="es-CR"/>
        </w:rPr>
      </w:pPr>
    </w:p>
    <w:bookmarkStart w:id="1" w:name="_GoBack"/>
    <w:bookmarkEnd w:id="1"/>
    <w:p w:rsidR="001D33D5" w:rsidRDefault="00C22745">
      <w:pPr>
        <w:pStyle w:val="Tabladeilustraciones"/>
        <w:tabs>
          <w:tab w:val="right" w:leader="dot" w:pos="8494"/>
        </w:tabs>
        <w:rPr>
          <w:rFonts w:asciiTheme="minorHAnsi" w:eastAsiaTheme="minorEastAsia" w:hAnsiTheme="minorHAnsi" w:cstheme="minorBidi"/>
          <w:noProof/>
          <w:sz w:val="22"/>
          <w:szCs w:val="22"/>
          <w:lang w:val="es-CR" w:eastAsia="es-CR"/>
        </w:rPr>
      </w:pPr>
      <w:r w:rsidRPr="007D33B1">
        <w:rPr>
          <w:rFonts w:ascii="Arial" w:eastAsiaTheme="majorEastAsia" w:hAnsi="Arial" w:cs="Arial"/>
          <w:lang w:val="es-CR" w:eastAsia="es-CR"/>
        </w:rPr>
        <w:fldChar w:fldCharType="begin"/>
      </w:r>
      <w:r w:rsidRPr="007D33B1">
        <w:rPr>
          <w:rFonts w:ascii="Arial" w:eastAsiaTheme="majorEastAsia" w:hAnsi="Arial" w:cs="Arial"/>
          <w:lang w:val="es-CR" w:eastAsia="es-CR"/>
        </w:rPr>
        <w:instrText xml:space="preserve"> TOC \h \z \c "Gráfico" </w:instrText>
      </w:r>
      <w:r w:rsidRPr="007D33B1">
        <w:rPr>
          <w:rFonts w:ascii="Arial" w:eastAsiaTheme="majorEastAsia" w:hAnsi="Arial" w:cs="Arial"/>
          <w:lang w:val="es-CR" w:eastAsia="es-CR"/>
        </w:rPr>
        <w:fldChar w:fldCharType="separate"/>
      </w:r>
      <w:hyperlink w:anchor="_Toc63666246" w:history="1">
        <w:r w:rsidR="001D33D5" w:rsidRPr="00375E7F">
          <w:rPr>
            <w:rStyle w:val="Hipervnculo"/>
            <w:rFonts w:ascii="Arial" w:hAnsi="Arial" w:cs="Arial"/>
            <w:bCs/>
            <w:noProof/>
            <w:lang w:val="es-CR"/>
          </w:rPr>
          <w:t>Gráfico 1. Área sembrada de palma aceitera. Período 2010-2018</w:t>
        </w:r>
        <w:r w:rsidR="001D33D5">
          <w:rPr>
            <w:noProof/>
            <w:webHidden/>
          </w:rPr>
          <w:tab/>
        </w:r>
        <w:r w:rsidR="001D33D5">
          <w:rPr>
            <w:noProof/>
            <w:webHidden/>
          </w:rPr>
          <w:fldChar w:fldCharType="begin"/>
        </w:r>
        <w:r w:rsidR="001D33D5">
          <w:rPr>
            <w:noProof/>
            <w:webHidden/>
          </w:rPr>
          <w:instrText xml:space="preserve"> PAGEREF _Toc63666246 \h </w:instrText>
        </w:r>
        <w:r w:rsidR="001D33D5">
          <w:rPr>
            <w:noProof/>
            <w:webHidden/>
          </w:rPr>
        </w:r>
        <w:r w:rsidR="001D33D5">
          <w:rPr>
            <w:noProof/>
            <w:webHidden/>
          </w:rPr>
          <w:fldChar w:fldCharType="separate"/>
        </w:r>
        <w:r w:rsidR="001D33D5">
          <w:rPr>
            <w:noProof/>
            <w:webHidden/>
          </w:rPr>
          <w:t>11</w:t>
        </w:r>
        <w:r w:rsidR="001D33D5">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7" w:history="1">
        <w:r w:rsidRPr="00375E7F">
          <w:rPr>
            <w:rStyle w:val="Hipervnculo"/>
            <w:rFonts w:ascii="Arial" w:hAnsi="Arial" w:cs="Arial"/>
            <w:bCs/>
            <w:noProof/>
            <w:lang w:val="es-CR"/>
          </w:rPr>
          <w:t>Gráfico 2. Distribución del área sembrada de palma aceitera según región.</w:t>
        </w:r>
        <w:r>
          <w:rPr>
            <w:noProof/>
            <w:webHidden/>
          </w:rPr>
          <w:tab/>
        </w:r>
        <w:r>
          <w:rPr>
            <w:noProof/>
            <w:webHidden/>
          </w:rPr>
          <w:fldChar w:fldCharType="begin"/>
        </w:r>
        <w:r>
          <w:rPr>
            <w:noProof/>
            <w:webHidden/>
          </w:rPr>
          <w:instrText xml:space="preserve"> PAGEREF _Toc63666247 \h </w:instrText>
        </w:r>
        <w:r>
          <w:rPr>
            <w:noProof/>
            <w:webHidden/>
          </w:rPr>
        </w:r>
        <w:r>
          <w:rPr>
            <w:noProof/>
            <w:webHidden/>
          </w:rPr>
          <w:fldChar w:fldCharType="separate"/>
        </w:r>
        <w:r>
          <w:rPr>
            <w:noProof/>
            <w:webHidden/>
          </w:rPr>
          <w:t>11</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8" w:history="1">
        <w:r w:rsidRPr="00375E7F">
          <w:rPr>
            <w:rStyle w:val="Hipervnculo"/>
            <w:rFonts w:ascii="Arial" w:hAnsi="Arial" w:cs="Arial"/>
            <w:bCs/>
            <w:noProof/>
            <w:lang w:val="es-CR"/>
          </w:rPr>
          <w:t>Gráfico 3. Producción de fruta de palma aceitera en Costa Rica, en toneladas métricas durante el período 2010-2018</w:t>
        </w:r>
        <w:r>
          <w:rPr>
            <w:noProof/>
            <w:webHidden/>
          </w:rPr>
          <w:tab/>
        </w:r>
        <w:r>
          <w:rPr>
            <w:noProof/>
            <w:webHidden/>
          </w:rPr>
          <w:fldChar w:fldCharType="begin"/>
        </w:r>
        <w:r>
          <w:rPr>
            <w:noProof/>
            <w:webHidden/>
          </w:rPr>
          <w:instrText xml:space="preserve"> PAGEREF _Toc63666248 \h </w:instrText>
        </w:r>
        <w:r>
          <w:rPr>
            <w:noProof/>
            <w:webHidden/>
          </w:rPr>
        </w:r>
        <w:r>
          <w:rPr>
            <w:noProof/>
            <w:webHidden/>
          </w:rPr>
          <w:fldChar w:fldCharType="separate"/>
        </w:r>
        <w:r>
          <w:rPr>
            <w:noProof/>
            <w:webHidden/>
          </w:rPr>
          <w:t>12</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49" w:history="1">
        <w:r w:rsidRPr="00375E7F">
          <w:rPr>
            <w:rStyle w:val="Hipervnculo"/>
            <w:rFonts w:ascii="Arial" w:hAnsi="Arial" w:cs="Arial"/>
            <w:bCs/>
            <w:noProof/>
            <w:lang w:val="es-CR"/>
          </w:rPr>
          <w:t>Gráfico 4. Rendimiento de fruta de palma aceitera en Costa Rica, período 2010-2018</w:t>
        </w:r>
        <w:r>
          <w:rPr>
            <w:noProof/>
            <w:webHidden/>
          </w:rPr>
          <w:tab/>
        </w:r>
        <w:r>
          <w:rPr>
            <w:noProof/>
            <w:webHidden/>
          </w:rPr>
          <w:fldChar w:fldCharType="begin"/>
        </w:r>
        <w:r>
          <w:rPr>
            <w:noProof/>
            <w:webHidden/>
          </w:rPr>
          <w:instrText xml:space="preserve"> PAGEREF _Toc63666249 \h </w:instrText>
        </w:r>
        <w:r>
          <w:rPr>
            <w:noProof/>
            <w:webHidden/>
          </w:rPr>
        </w:r>
        <w:r>
          <w:rPr>
            <w:noProof/>
            <w:webHidden/>
          </w:rPr>
          <w:fldChar w:fldCharType="separate"/>
        </w:r>
        <w:r>
          <w:rPr>
            <w:noProof/>
            <w:webHidden/>
          </w:rPr>
          <w:t>13</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0" w:history="1">
        <w:r w:rsidRPr="00375E7F">
          <w:rPr>
            <w:rStyle w:val="Hipervnculo"/>
            <w:rFonts w:ascii="Arial" w:eastAsia="Calibri" w:hAnsi="Arial" w:cs="Arial"/>
            <w:bCs/>
            <w:noProof/>
            <w:lang w:val="es-CR" w:eastAsia="en-US"/>
          </w:rPr>
          <w:t>Gráfico 5. Porcentaje de extracción por tipo de subproducto</w:t>
        </w:r>
        <w:r>
          <w:rPr>
            <w:noProof/>
            <w:webHidden/>
          </w:rPr>
          <w:tab/>
        </w:r>
        <w:r>
          <w:rPr>
            <w:noProof/>
            <w:webHidden/>
          </w:rPr>
          <w:fldChar w:fldCharType="begin"/>
        </w:r>
        <w:r>
          <w:rPr>
            <w:noProof/>
            <w:webHidden/>
          </w:rPr>
          <w:instrText xml:space="preserve"> PAGEREF _Toc63666250 \h </w:instrText>
        </w:r>
        <w:r>
          <w:rPr>
            <w:noProof/>
            <w:webHidden/>
          </w:rPr>
        </w:r>
        <w:r>
          <w:rPr>
            <w:noProof/>
            <w:webHidden/>
          </w:rPr>
          <w:fldChar w:fldCharType="separate"/>
        </w:r>
        <w:r>
          <w:rPr>
            <w:noProof/>
            <w:webHidden/>
          </w:rPr>
          <w:t>14</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1" w:history="1">
        <w:r w:rsidRPr="00375E7F">
          <w:rPr>
            <w:rStyle w:val="Hipervnculo"/>
            <w:rFonts w:ascii="Arial" w:hAnsi="Arial" w:cs="Arial"/>
            <w:bCs/>
            <w:noProof/>
            <w:lang w:val="es-CR"/>
          </w:rPr>
          <w:t>Gráfico 6. Rendimiento de aceite de palma aceitera según área en Costa Rica, período 2010-2018</w:t>
        </w:r>
        <w:r>
          <w:rPr>
            <w:noProof/>
            <w:webHidden/>
          </w:rPr>
          <w:tab/>
        </w:r>
        <w:r>
          <w:rPr>
            <w:noProof/>
            <w:webHidden/>
          </w:rPr>
          <w:fldChar w:fldCharType="begin"/>
        </w:r>
        <w:r>
          <w:rPr>
            <w:noProof/>
            <w:webHidden/>
          </w:rPr>
          <w:instrText xml:space="preserve"> PAGEREF _Toc63666251 \h </w:instrText>
        </w:r>
        <w:r>
          <w:rPr>
            <w:noProof/>
            <w:webHidden/>
          </w:rPr>
        </w:r>
        <w:r>
          <w:rPr>
            <w:noProof/>
            <w:webHidden/>
          </w:rPr>
          <w:fldChar w:fldCharType="separate"/>
        </w:r>
        <w:r>
          <w:rPr>
            <w:noProof/>
            <w:webHidden/>
          </w:rPr>
          <w:t>15</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2" w:history="1">
        <w:r w:rsidRPr="00375E7F">
          <w:rPr>
            <w:rStyle w:val="Hipervnculo"/>
            <w:rFonts w:ascii="Arial" w:hAnsi="Arial" w:cs="Arial"/>
            <w:noProof/>
            <w:lang w:val="es-CR"/>
          </w:rPr>
          <w:t>Gráfico 7. Precio internacional de aceite palmiste y aceite crudo y sus tendencias por tonelada métrica en dólares, durante el período 2010-2018</w:t>
        </w:r>
        <w:r>
          <w:rPr>
            <w:noProof/>
            <w:webHidden/>
          </w:rPr>
          <w:tab/>
        </w:r>
        <w:r>
          <w:rPr>
            <w:noProof/>
            <w:webHidden/>
          </w:rPr>
          <w:fldChar w:fldCharType="begin"/>
        </w:r>
        <w:r>
          <w:rPr>
            <w:noProof/>
            <w:webHidden/>
          </w:rPr>
          <w:instrText xml:space="preserve"> PAGEREF _Toc63666252 \h </w:instrText>
        </w:r>
        <w:r>
          <w:rPr>
            <w:noProof/>
            <w:webHidden/>
          </w:rPr>
        </w:r>
        <w:r>
          <w:rPr>
            <w:noProof/>
            <w:webHidden/>
          </w:rPr>
          <w:fldChar w:fldCharType="separate"/>
        </w:r>
        <w:r>
          <w:rPr>
            <w:noProof/>
            <w:webHidden/>
          </w:rPr>
          <w:t>16</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3" w:history="1">
        <w:r w:rsidRPr="00375E7F">
          <w:rPr>
            <w:rStyle w:val="Hipervnculo"/>
            <w:rFonts w:ascii="Arial" w:hAnsi="Arial" w:cs="Arial"/>
            <w:bCs/>
            <w:noProof/>
            <w:lang w:val="es-CR"/>
          </w:rPr>
          <w:t>Gráfico 8. Precio nacional promedio de aceite crudo y su tendencia por tonelada métrica en dólares, durante el período 2010-2018</w:t>
        </w:r>
        <w:r>
          <w:rPr>
            <w:noProof/>
            <w:webHidden/>
          </w:rPr>
          <w:tab/>
        </w:r>
        <w:r>
          <w:rPr>
            <w:noProof/>
            <w:webHidden/>
          </w:rPr>
          <w:fldChar w:fldCharType="begin"/>
        </w:r>
        <w:r>
          <w:rPr>
            <w:noProof/>
            <w:webHidden/>
          </w:rPr>
          <w:instrText xml:space="preserve"> PAGEREF _Toc63666253 \h </w:instrText>
        </w:r>
        <w:r>
          <w:rPr>
            <w:noProof/>
            <w:webHidden/>
          </w:rPr>
        </w:r>
        <w:r>
          <w:rPr>
            <w:noProof/>
            <w:webHidden/>
          </w:rPr>
          <w:fldChar w:fldCharType="separate"/>
        </w:r>
        <w:r>
          <w:rPr>
            <w:noProof/>
            <w:webHidden/>
          </w:rPr>
          <w:t>17</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4" w:history="1">
        <w:r w:rsidRPr="00375E7F">
          <w:rPr>
            <w:rStyle w:val="Hipervnculo"/>
            <w:rFonts w:ascii="Arial" w:hAnsi="Arial" w:cs="Arial"/>
            <w:bCs/>
            <w:noProof/>
            <w:lang w:val="es-CR"/>
          </w:rPr>
          <w:t>Gráfico 9. Comportamiento del precio nacional de fruta de palma en Costa Rica y el precio CIF Rotterdam, medias móviles con 3 observaciones. Periodo: 2010-2018</w:t>
        </w:r>
        <w:r>
          <w:rPr>
            <w:noProof/>
            <w:webHidden/>
          </w:rPr>
          <w:tab/>
        </w:r>
        <w:r>
          <w:rPr>
            <w:noProof/>
            <w:webHidden/>
          </w:rPr>
          <w:fldChar w:fldCharType="begin"/>
        </w:r>
        <w:r>
          <w:rPr>
            <w:noProof/>
            <w:webHidden/>
          </w:rPr>
          <w:instrText xml:space="preserve"> PAGEREF _Toc63666254 \h </w:instrText>
        </w:r>
        <w:r>
          <w:rPr>
            <w:noProof/>
            <w:webHidden/>
          </w:rPr>
        </w:r>
        <w:r>
          <w:rPr>
            <w:noProof/>
            <w:webHidden/>
          </w:rPr>
          <w:fldChar w:fldCharType="separate"/>
        </w:r>
        <w:r>
          <w:rPr>
            <w:noProof/>
            <w:webHidden/>
          </w:rPr>
          <w:t>18</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5" w:history="1">
        <w:r w:rsidRPr="00375E7F">
          <w:rPr>
            <w:rStyle w:val="Hipervnculo"/>
            <w:rFonts w:ascii="Arial" w:hAnsi="Arial" w:cs="Arial"/>
            <w:bCs/>
            <w:noProof/>
            <w:lang w:val="es-CR"/>
          </w:rPr>
          <w:t>Gráfico 10. Porcentaje del precio CIF Rotterdam correspondiente al precio nacional de la fruta de palma aceitera. Período: 2010-2018</w:t>
        </w:r>
        <w:r>
          <w:rPr>
            <w:noProof/>
            <w:webHidden/>
          </w:rPr>
          <w:tab/>
        </w:r>
        <w:r>
          <w:rPr>
            <w:noProof/>
            <w:webHidden/>
          </w:rPr>
          <w:fldChar w:fldCharType="begin"/>
        </w:r>
        <w:r>
          <w:rPr>
            <w:noProof/>
            <w:webHidden/>
          </w:rPr>
          <w:instrText xml:space="preserve"> PAGEREF _Toc63666255 \h </w:instrText>
        </w:r>
        <w:r>
          <w:rPr>
            <w:noProof/>
            <w:webHidden/>
          </w:rPr>
        </w:r>
        <w:r>
          <w:rPr>
            <w:noProof/>
            <w:webHidden/>
          </w:rPr>
          <w:fldChar w:fldCharType="separate"/>
        </w:r>
        <w:r>
          <w:rPr>
            <w:noProof/>
            <w:webHidden/>
          </w:rPr>
          <w:t>19</w:t>
        </w:r>
        <w:r>
          <w:rPr>
            <w:noProof/>
            <w:webHidden/>
          </w:rPr>
          <w:fldChar w:fldCharType="end"/>
        </w:r>
      </w:hyperlink>
    </w:p>
    <w:p w:rsidR="001D33D5" w:rsidRDefault="001D33D5">
      <w:pPr>
        <w:pStyle w:val="Tabladeilustraciones"/>
        <w:tabs>
          <w:tab w:val="right" w:leader="dot" w:pos="8494"/>
        </w:tabs>
        <w:rPr>
          <w:rFonts w:asciiTheme="minorHAnsi" w:eastAsiaTheme="minorEastAsia" w:hAnsiTheme="minorHAnsi" w:cstheme="minorBidi"/>
          <w:noProof/>
          <w:sz w:val="22"/>
          <w:szCs w:val="22"/>
          <w:lang w:val="es-CR" w:eastAsia="es-CR"/>
        </w:rPr>
      </w:pPr>
      <w:hyperlink w:anchor="_Toc63666256" w:history="1">
        <w:r w:rsidRPr="00375E7F">
          <w:rPr>
            <w:rStyle w:val="Hipervnculo"/>
            <w:rFonts w:ascii="Arial" w:eastAsia="Calibri" w:hAnsi="Arial" w:cs="Arial"/>
            <w:bCs/>
            <w:noProof/>
            <w:lang w:val="es-CR" w:eastAsia="en-US"/>
          </w:rPr>
          <w:t>Gráfico 11. Relación entre exportaciones e importaciones de Costa Rica durante el período 2010-2018</w:t>
        </w:r>
        <w:r>
          <w:rPr>
            <w:noProof/>
            <w:webHidden/>
          </w:rPr>
          <w:tab/>
        </w:r>
        <w:r>
          <w:rPr>
            <w:noProof/>
            <w:webHidden/>
          </w:rPr>
          <w:fldChar w:fldCharType="begin"/>
        </w:r>
        <w:r>
          <w:rPr>
            <w:noProof/>
            <w:webHidden/>
          </w:rPr>
          <w:instrText xml:space="preserve"> PAGEREF _Toc63666256 \h </w:instrText>
        </w:r>
        <w:r>
          <w:rPr>
            <w:noProof/>
            <w:webHidden/>
          </w:rPr>
        </w:r>
        <w:r>
          <w:rPr>
            <w:noProof/>
            <w:webHidden/>
          </w:rPr>
          <w:fldChar w:fldCharType="separate"/>
        </w:r>
        <w:r>
          <w:rPr>
            <w:noProof/>
            <w:webHidden/>
          </w:rPr>
          <w:t>21</w:t>
        </w:r>
        <w:r>
          <w:rPr>
            <w:noProof/>
            <w:webHidden/>
          </w:rPr>
          <w:fldChar w:fldCharType="end"/>
        </w:r>
      </w:hyperlink>
    </w:p>
    <w:p w:rsidR="00653869" w:rsidRDefault="00C22745" w:rsidP="00701DD4">
      <w:pPr>
        <w:pStyle w:val="Ttulo1"/>
        <w:spacing w:line="360" w:lineRule="auto"/>
        <w:rPr>
          <w:rFonts w:eastAsiaTheme="majorEastAsia" w:cs="Arial"/>
          <w:lang w:val="es-CR" w:eastAsia="es-CR"/>
        </w:rPr>
      </w:pPr>
      <w:r w:rsidRPr="007D33B1">
        <w:rPr>
          <w:rFonts w:eastAsiaTheme="majorEastAsia" w:cs="Arial"/>
          <w:lang w:val="es-CR" w:eastAsia="es-CR"/>
        </w:rPr>
        <w:fldChar w:fldCharType="end"/>
      </w:r>
      <w:bookmarkStart w:id="2" w:name="_Toc35865804"/>
    </w:p>
    <w:p w:rsidR="00653869" w:rsidRDefault="00653869">
      <w:pPr>
        <w:rPr>
          <w:rFonts w:ascii="Arial" w:eastAsiaTheme="majorEastAsia" w:hAnsi="Arial" w:cs="Arial"/>
          <w:b/>
          <w:bCs/>
          <w:sz w:val="28"/>
          <w:lang w:val="es-CR" w:eastAsia="es-CR"/>
        </w:rPr>
      </w:pPr>
      <w:r>
        <w:rPr>
          <w:rFonts w:eastAsiaTheme="majorEastAsia" w:cs="Arial"/>
          <w:lang w:val="es-CR" w:eastAsia="es-CR"/>
        </w:rPr>
        <w:br w:type="page"/>
      </w:r>
    </w:p>
    <w:p w:rsidR="00BE6B3E" w:rsidRPr="00810457" w:rsidRDefault="00CE661A" w:rsidP="00701DD4">
      <w:pPr>
        <w:pStyle w:val="Ttulo1"/>
        <w:spacing w:line="360" w:lineRule="auto"/>
        <w:rPr>
          <w:rFonts w:eastAsiaTheme="majorEastAsia" w:cs="Arial"/>
          <w:lang w:val="es-CR" w:eastAsia="es-CR"/>
        </w:rPr>
      </w:pPr>
      <w:bookmarkStart w:id="3" w:name="_Toc63666198"/>
      <w:r>
        <w:rPr>
          <w:rFonts w:eastAsiaTheme="majorEastAsia"/>
          <w:lang w:val="es-CR" w:eastAsia="es-CR"/>
        </w:rPr>
        <w:lastRenderedPageBreak/>
        <w:t>Introducción</w:t>
      </w:r>
      <w:bookmarkEnd w:id="2"/>
      <w:bookmarkEnd w:id="3"/>
    </w:p>
    <w:p w:rsidR="00CE661A" w:rsidRPr="00CA532B" w:rsidRDefault="00CE661A">
      <w:pPr>
        <w:rPr>
          <w:lang w:val="es-CR"/>
        </w:rPr>
      </w:pPr>
    </w:p>
    <w:p w:rsidR="006F4B69" w:rsidRPr="006F4B69" w:rsidRDefault="006F4B69" w:rsidP="001656C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Desde el año 2012 el sector palm</w:t>
      </w:r>
      <w:r w:rsidR="001656C9">
        <w:rPr>
          <w:rFonts w:ascii="Arial" w:eastAsia="Calibri" w:hAnsi="Arial"/>
          <w:szCs w:val="22"/>
          <w:lang w:val="es-CR" w:eastAsia="en-US"/>
        </w:rPr>
        <w:t>ero</w:t>
      </w:r>
      <w:r w:rsidRPr="006F4B69">
        <w:rPr>
          <w:rFonts w:ascii="Arial" w:eastAsia="Calibri" w:hAnsi="Arial"/>
          <w:szCs w:val="22"/>
          <w:lang w:val="es-CR" w:eastAsia="en-US"/>
        </w:rPr>
        <w:t xml:space="preserve"> ha visto como el precio pagado por la fruta de palma por parte de las empresas productoras de aceite crudo de palma y otros derivados de la fruta, ha venido disminuyendo. </w:t>
      </w:r>
    </w:p>
    <w:p w:rsidR="006F4B69" w:rsidRPr="006F4B69" w:rsidRDefault="006F4B69" w:rsidP="001656C9">
      <w:pPr>
        <w:spacing w:line="276" w:lineRule="auto"/>
        <w:jc w:val="both"/>
        <w:rPr>
          <w:rFonts w:ascii="Arial" w:eastAsia="Calibri" w:hAnsi="Arial"/>
          <w:szCs w:val="22"/>
          <w:lang w:val="es-CR" w:eastAsia="en-US"/>
        </w:rPr>
      </w:pPr>
    </w:p>
    <w:p w:rsidR="006F4B69" w:rsidRPr="006F4B69" w:rsidRDefault="006F4B69" w:rsidP="001656C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 xml:space="preserve">Esta situación se </w:t>
      </w:r>
      <w:r w:rsidR="00FF425B">
        <w:rPr>
          <w:rFonts w:ascii="Arial" w:eastAsia="Calibri" w:hAnsi="Arial"/>
          <w:szCs w:val="22"/>
          <w:lang w:val="es-CR" w:eastAsia="en-US"/>
        </w:rPr>
        <w:t>debe</w:t>
      </w:r>
      <w:r w:rsidRPr="006F4B69">
        <w:rPr>
          <w:rFonts w:ascii="Arial" w:eastAsia="Calibri" w:hAnsi="Arial"/>
          <w:szCs w:val="22"/>
          <w:lang w:val="es-CR" w:eastAsia="en-US"/>
        </w:rPr>
        <w:t xml:space="preserve"> </w:t>
      </w:r>
      <w:r w:rsidR="00D45F31">
        <w:rPr>
          <w:rFonts w:ascii="Arial" w:eastAsia="Calibri" w:hAnsi="Arial"/>
          <w:szCs w:val="22"/>
          <w:lang w:val="es-CR" w:eastAsia="en-US"/>
        </w:rPr>
        <w:t xml:space="preserve">en parte </w:t>
      </w:r>
      <w:r w:rsidRPr="006F4B69">
        <w:rPr>
          <w:rFonts w:ascii="Arial" w:eastAsia="Calibri" w:hAnsi="Arial"/>
          <w:szCs w:val="22"/>
          <w:lang w:val="es-CR" w:eastAsia="en-US"/>
        </w:rPr>
        <w:t>a que el monto pagado por la fruta de palma está en función del p</w:t>
      </w:r>
      <w:r w:rsidR="00D45F31">
        <w:rPr>
          <w:rFonts w:ascii="Arial" w:eastAsia="Calibri" w:hAnsi="Arial"/>
          <w:szCs w:val="22"/>
          <w:lang w:val="es-CR" w:eastAsia="en-US"/>
        </w:rPr>
        <w:t xml:space="preserve">recio internacional del aceite, </w:t>
      </w:r>
      <w:r w:rsidRPr="006F4B69">
        <w:rPr>
          <w:rFonts w:ascii="Arial" w:eastAsia="Calibri" w:hAnsi="Arial"/>
          <w:szCs w:val="22"/>
          <w:lang w:val="es-CR" w:eastAsia="en-US"/>
        </w:rPr>
        <w:t>y al</w:t>
      </w:r>
      <w:r w:rsidR="00D45F31">
        <w:rPr>
          <w:rFonts w:ascii="Arial" w:eastAsia="Calibri" w:hAnsi="Arial"/>
          <w:szCs w:val="22"/>
          <w:lang w:val="es-CR" w:eastAsia="en-US"/>
        </w:rPr>
        <w:t xml:space="preserve"> </w:t>
      </w:r>
      <w:r w:rsidR="00700BD2">
        <w:rPr>
          <w:rFonts w:ascii="Arial" w:eastAsia="Calibri" w:hAnsi="Arial"/>
          <w:szCs w:val="22"/>
          <w:lang w:val="es-CR" w:eastAsia="en-US"/>
        </w:rPr>
        <w:t xml:space="preserve">estar </w:t>
      </w:r>
      <w:r w:rsidR="00D45F31">
        <w:rPr>
          <w:rFonts w:ascii="Arial" w:eastAsia="Calibri" w:hAnsi="Arial"/>
          <w:szCs w:val="22"/>
          <w:lang w:val="es-CR" w:eastAsia="en-US"/>
        </w:rPr>
        <w:t>este último disminuyendo</w:t>
      </w:r>
      <w:r w:rsidR="00700BD2">
        <w:rPr>
          <w:rFonts w:ascii="Arial" w:eastAsia="Calibri" w:hAnsi="Arial"/>
          <w:szCs w:val="22"/>
          <w:lang w:val="es-CR" w:eastAsia="en-US"/>
        </w:rPr>
        <w:t>,</w:t>
      </w:r>
      <w:r w:rsidRPr="006F4B69">
        <w:rPr>
          <w:rFonts w:ascii="Arial" w:eastAsia="Calibri" w:hAnsi="Arial"/>
          <w:szCs w:val="22"/>
          <w:lang w:val="es-CR" w:eastAsia="en-US"/>
        </w:rPr>
        <w:t xml:space="preserve"> afecta de forma directa el precio de la f</w:t>
      </w:r>
      <w:r w:rsidR="00665123">
        <w:rPr>
          <w:rFonts w:ascii="Arial" w:eastAsia="Calibri" w:hAnsi="Arial"/>
          <w:szCs w:val="22"/>
          <w:lang w:val="es-CR" w:eastAsia="en-US"/>
        </w:rPr>
        <w:t>r</w:t>
      </w:r>
      <w:r w:rsidRPr="006F4B69">
        <w:rPr>
          <w:rFonts w:ascii="Arial" w:eastAsia="Calibri" w:hAnsi="Arial"/>
          <w:szCs w:val="22"/>
          <w:lang w:val="es-CR" w:eastAsia="en-US"/>
        </w:rPr>
        <w:t>uta.</w:t>
      </w:r>
    </w:p>
    <w:p w:rsidR="006F4B69" w:rsidRPr="006F4B69" w:rsidRDefault="006F4B69" w:rsidP="001656C9">
      <w:pPr>
        <w:spacing w:line="276" w:lineRule="auto"/>
        <w:jc w:val="both"/>
        <w:rPr>
          <w:rFonts w:ascii="Arial" w:eastAsia="Calibri" w:hAnsi="Arial"/>
          <w:szCs w:val="22"/>
          <w:lang w:val="es-CR" w:eastAsia="en-US"/>
        </w:rPr>
      </w:pPr>
    </w:p>
    <w:p w:rsidR="006F4B69" w:rsidRPr="006F4B69" w:rsidRDefault="006F4B69" w:rsidP="001656C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Este fenómeno se ha prolongado por varios años, razón por la cual</w:t>
      </w:r>
      <w:r w:rsidR="00700BD2">
        <w:rPr>
          <w:rFonts w:ascii="Arial" w:eastAsia="Calibri" w:hAnsi="Arial"/>
          <w:szCs w:val="22"/>
          <w:lang w:val="es-CR" w:eastAsia="en-US"/>
        </w:rPr>
        <w:t>,</w:t>
      </w:r>
      <w:r w:rsidRPr="006F4B69">
        <w:rPr>
          <w:rFonts w:ascii="Arial" w:eastAsia="Calibri" w:hAnsi="Arial"/>
          <w:szCs w:val="22"/>
          <w:lang w:val="es-CR" w:eastAsia="en-US"/>
        </w:rPr>
        <w:t xml:space="preserve"> algunos productores de palma han indicado que el ingreso percibido en la actualidad</w:t>
      </w:r>
      <w:r w:rsidR="00700BD2">
        <w:rPr>
          <w:rFonts w:ascii="Arial" w:eastAsia="Calibri" w:hAnsi="Arial"/>
          <w:szCs w:val="22"/>
          <w:lang w:val="es-CR" w:eastAsia="en-US"/>
        </w:rPr>
        <w:t>,</w:t>
      </w:r>
      <w:r w:rsidRPr="006F4B69">
        <w:rPr>
          <w:rFonts w:ascii="Arial" w:eastAsia="Calibri" w:hAnsi="Arial"/>
          <w:szCs w:val="22"/>
          <w:lang w:val="es-CR" w:eastAsia="en-US"/>
        </w:rPr>
        <w:t xml:space="preserve"> no es suficiente para hacer frente a sus responsabilidades financieras y han solicitado al Ministerio de Economía, Industria y Comercio</w:t>
      </w:r>
      <w:r w:rsidR="00D45F31">
        <w:rPr>
          <w:rFonts w:ascii="Arial" w:eastAsia="Calibri" w:hAnsi="Arial"/>
          <w:szCs w:val="22"/>
          <w:lang w:val="es-CR" w:eastAsia="en-US"/>
        </w:rPr>
        <w:t xml:space="preserve"> (MEIC)</w:t>
      </w:r>
      <w:r w:rsidRPr="006F4B69">
        <w:rPr>
          <w:rFonts w:ascii="Arial" w:eastAsia="Calibri" w:hAnsi="Arial"/>
          <w:szCs w:val="22"/>
          <w:lang w:val="es-CR" w:eastAsia="en-US"/>
        </w:rPr>
        <w:t xml:space="preserve"> que se realice un análisis con el fin de que </w:t>
      </w:r>
      <w:r w:rsidR="00700BD2">
        <w:rPr>
          <w:rFonts w:ascii="Arial" w:eastAsia="Calibri" w:hAnsi="Arial"/>
          <w:szCs w:val="22"/>
          <w:lang w:val="es-CR" w:eastAsia="en-US"/>
        </w:rPr>
        <w:t xml:space="preserve">se </w:t>
      </w:r>
      <w:r w:rsidRPr="006F4B69">
        <w:rPr>
          <w:rFonts w:ascii="Arial" w:eastAsia="Calibri" w:hAnsi="Arial"/>
          <w:szCs w:val="22"/>
          <w:lang w:val="es-CR" w:eastAsia="en-US"/>
        </w:rPr>
        <w:t>regule el precio de la fruta.</w:t>
      </w:r>
    </w:p>
    <w:p w:rsidR="006F4B69" w:rsidRPr="006F4B69" w:rsidRDefault="006F4B69" w:rsidP="001656C9">
      <w:pPr>
        <w:spacing w:line="276" w:lineRule="auto"/>
        <w:jc w:val="both"/>
        <w:rPr>
          <w:rFonts w:ascii="Arial" w:eastAsia="Calibri" w:hAnsi="Arial"/>
          <w:szCs w:val="22"/>
          <w:lang w:val="es-CR" w:eastAsia="en-US"/>
        </w:rPr>
      </w:pPr>
    </w:p>
    <w:p w:rsidR="006F4B69" w:rsidRDefault="006F4B69" w:rsidP="006F4B6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El 21 de noviembre del año 2018</w:t>
      </w:r>
      <w:r w:rsidR="00700BD2">
        <w:rPr>
          <w:rFonts w:ascii="Arial" w:eastAsia="Calibri" w:hAnsi="Arial"/>
          <w:szCs w:val="22"/>
          <w:lang w:val="es-CR" w:eastAsia="en-US"/>
        </w:rPr>
        <w:t>,</w:t>
      </w:r>
      <w:r w:rsidRPr="006F4B69">
        <w:rPr>
          <w:rFonts w:ascii="Arial" w:eastAsia="Calibri" w:hAnsi="Arial"/>
          <w:szCs w:val="22"/>
          <w:lang w:val="es-CR" w:eastAsia="en-US"/>
        </w:rPr>
        <w:t xml:space="preserve"> </w:t>
      </w:r>
      <w:r w:rsidR="00D45F31">
        <w:rPr>
          <w:rFonts w:ascii="Arial" w:eastAsia="Calibri" w:hAnsi="Arial"/>
          <w:szCs w:val="22"/>
          <w:lang w:val="es-CR" w:eastAsia="en-US"/>
        </w:rPr>
        <w:t xml:space="preserve">el MEIC </w:t>
      </w:r>
      <w:r w:rsidRPr="006F4B69">
        <w:rPr>
          <w:rFonts w:ascii="Arial" w:eastAsia="Calibri" w:hAnsi="Arial"/>
          <w:szCs w:val="22"/>
          <w:lang w:val="es-CR" w:eastAsia="en-US"/>
        </w:rPr>
        <w:t xml:space="preserve">recibió una solicitud de proceso para valorar la pertinencia de </w:t>
      </w:r>
      <w:r w:rsidR="00700BD2">
        <w:rPr>
          <w:rFonts w:ascii="Arial" w:eastAsia="Calibri" w:hAnsi="Arial"/>
          <w:szCs w:val="22"/>
          <w:lang w:val="es-CR" w:eastAsia="en-US"/>
        </w:rPr>
        <w:t xml:space="preserve">una </w:t>
      </w:r>
      <w:r w:rsidRPr="006F4B69">
        <w:rPr>
          <w:rFonts w:ascii="Arial" w:eastAsia="Calibri" w:hAnsi="Arial"/>
          <w:szCs w:val="22"/>
          <w:lang w:val="es-CR" w:eastAsia="en-US"/>
        </w:rPr>
        <w:t>regulación de precios de la fruta de palma aceitera. Ante esta situación</w:t>
      </w:r>
      <w:r w:rsidR="00700BD2">
        <w:rPr>
          <w:rFonts w:ascii="Arial" w:eastAsia="Calibri" w:hAnsi="Arial"/>
          <w:szCs w:val="22"/>
          <w:lang w:val="es-CR" w:eastAsia="en-US"/>
        </w:rPr>
        <w:t>,</w:t>
      </w:r>
      <w:r w:rsidRPr="006F4B69">
        <w:rPr>
          <w:rFonts w:ascii="Arial" w:eastAsia="Calibri" w:hAnsi="Arial"/>
          <w:szCs w:val="22"/>
          <w:lang w:val="es-CR" w:eastAsia="en-US"/>
        </w:rPr>
        <w:t xml:space="preserve"> la Dirección de Investigaciones Económicas y de Mercados (DIEM) del MEIC </w:t>
      </w:r>
      <w:r w:rsidR="007B7D93">
        <w:rPr>
          <w:rFonts w:ascii="Arial" w:eastAsia="Calibri" w:hAnsi="Arial"/>
          <w:szCs w:val="22"/>
          <w:lang w:val="es-CR" w:eastAsia="en-US"/>
        </w:rPr>
        <w:t>desarrolló</w:t>
      </w:r>
      <w:r w:rsidR="00D45F31">
        <w:rPr>
          <w:rFonts w:ascii="Arial" w:eastAsia="Calibri" w:hAnsi="Arial"/>
          <w:szCs w:val="22"/>
          <w:lang w:val="es-CR" w:eastAsia="en-US"/>
        </w:rPr>
        <w:t xml:space="preserve"> este estudio</w:t>
      </w:r>
      <w:r w:rsidR="00700BD2">
        <w:rPr>
          <w:rFonts w:ascii="Arial" w:eastAsia="Calibri" w:hAnsi="Arial"/>
          <w:szCs w:val="22"/>
          <w:lang w:val="es-CR" w:eastAsia="en-US"/>
        </w:rPr>
        <w:t>,</w:t>
      </w:r>
      <w:r w:rsidR="00D45F31">
        <w:rPr>
          <w:rFonts w:ascii="Arial" w:eastAsia="Calibri" w:hAnsi="Arial"/>
          <w:szCs w:val="22"/>
          <w:lang w:val="es-CR" w:eastAsia="en-US"/>
        </w:rPr>
        <w:t xml:space="preserve"> que permite evidenciar </w:t>
      </w:r>
      <w:r w:rsidR="00F32749">
        <w:rPr>
          <w:rFonts w:ascii="Arial" w:eastAsia="Calibri" w:hAnsi="Arial"/>
          <w:szCs w:val="22"/>
          <w:lang w:val="es-CR" w:eastAsia="en-US"/>
        </w:rPr>
        <w:t>si el sector requiere o no un modelo q</w:t>
      </w:r>
      <w:r w:rsidR="007B7D93">
        <w:rPr>
          <w:rFonts w:ascii="Arial" w:eastAsia="Calibri" w:hAnsi="Arial"/>
          <w:szCs w:val="22"/>
          <w:lang w:val="es-CR" w:eastAsia="en-US"/>
        </w:rPr>
        <w:t>ue regule el precio de la fruta.</w:t>
      </w:r>
    </w:p>
    <w:p w:rsidR="00665BC7" w:rsidRDefault="00665BC7" w:rsidP="001078D4">
      <w:pPr>
        <w:pStyle w:val="Sinespaciado"/>
        <w:rPr>
          <w:rFonts w:eastAsia="Calibri"/>
          <w:lang w:val="es-CR" w:eastAsia="en-US"/>
        </w:rPr>
      </w:pPr>
    </w:p>
    <w:p w:rsidR="00F32749" w:rsidRPr="006F4B69" w:rsidRDefault="00F32749" w:rsidP="006F4B69">
      <w:pPr>
        <w:spacing w:line="276" w:lineRule="auto"/>
        <w:jc w:val="both"/>
        <w:rPr>
          <w:rFonts w:ascii="Arial" w:eastAsia="Calibri" w:hAnsi="Arial"/>
          <w:szCs w:val="22"/>
          <w:lang w:val="es-CR" w:eastAsia="en-US"/>
        </w:rPr>
      </w:pPr>
    </w:p>
    <w:p w:rsidR="006F4B69" w:rsidRPr="006F4B69" w:rsidRDefault="006F4B69" w:rsidP="003D72D0">
      <w:pPr>
        <w:pStyle w:val="Ttulo1"/>
        <w:rPr>
          <w:rFonts w:eastAsia="Calibri"/>
          <w:lang w:eastAsia="en-US"/>
        </w:rPr>
      </w:pPr>
      <w:bookmarkStart w:id="4" w:name="_Toc35865805"/>
      <w:bookmarkStart w:id="5" w:name="_Toc63666199"/>
      <w:r w:rsidRPr="006F4B69">
        <w:rPr>
          <w:rFonts w:eastAsia="Calibri"/>
          <w:lang w:eastAsia="en-US"/>
        </w:rPr>
        <w:t>Antecedentes</w:t>
      </w:r>
      <w:bookmarkEnd w:id="4"/>
      <w:bookmarkEnd w:id="5"/>
    </w:p>
    <w:p w:rsidR="006F4B69" w:rsidRPr="006F4B69" w:rsidRDefault="006F4B69" w:rsidP="00975C50">
      <w:pPr>
        <w:pStyle w:val="Sinespaciado"/>
        <w:rPr>
          <w:rFonts w:eastAsia="Calibri"/>
          <w:lang w:val="es-CR" w:eastAsia="en-US"/>
        </w:rPr>
      </w:pPr>
    </w:p>
    <w:p w:rsidR="006F4B69" w:rsidRPr="006F4B69" w:rsidRDefault="006F4B69" w:rsidP="006F4B69">
      <w:pPr>
        <w:spacing w:line="276" w:lineRule="auto"/>
        <w:jc w:val="both"/>
        <w:rPr>
          <w:rFonts w:ascii="Arial" w:eastAsia="Calibri" w:hAnsi="Arial" w:cs="Arial"/>
          <w:szCs w:val="22"/>
          <w:lang w:val="es-CR" w:eastAsia="en-US"/>
        </w:rPr>
      </w:pPr>
      <w:r w:rsidRPr="006F4B69">
        <w:rPr>
          <w:rFonts w:ascii="Arial" w:eastAsia="Calibri" w:hAnsi="Arial" w:cs="Arial"/>
          <w:szCs w:val="22"/>
          <w:lang w:val="es-CR" w:eastAsia="en-US"/>
        </w:rPr>
        <w:t>La reducción de los precios de la fruta de palma se viene dando de manera más abrupta desde el año 2012</w:t>
      </w:r>
      <w:r w:rsidR="00F32749">
        <w:rPr>
          <w:rFonts w:ascii="Arial" w:eastAsia="Calibri" w:hAnsi="Arial" w:cs="Arial"/>
          <w:szCs w:val="22"/>
          <w:lang w:val="es-CR" w:eastAsia="en-US"/>
        </w:rPr>
        <w:t>, perí</w:t>
      </w:r>
      <w:r w:rsidRPr="006F4B69">
        <w:rPr>
          <w:rFonts w:ascii="Arial" w:eastAsia="Calibri" w:hAnsi="Arial" w:cs="Arial"/>
          <w:szCs w:val="22"/>
          <w:lang w:val="es-CR" w:eastAsia="en-US"/>
        </w:rPr>
        <w:t>odo durante el cual</w:t>
      </w:r>
      <w:r w:rsidR="00700BD2">
        <w:rPr>
          <w:rFonts w:ascii="Arial" w:eastAsia="Calibri" w:hAnsi="Arial" w:cs="Arial"/>
          <w:szCs w:val="22"/>
          <w:lang w:val="es-CR" w:eastAsia="en-US"/>
        </w:rPr>
        <w:t>,</w:t>
      </w:r>
      <w:r w:rsidRPr="006F4B69">
        <w:rPr>
          <w:rFonts w:ascii="Arial" w:eastAsia="Calibri" w:hAnsi="Arial" w:cs="Arial"/>
          <w:szCs w:val="22"/>
          <w:lang w:val="es-CR" w:eastAsia="en-US"/>
        </w:rPr>
        <w:t xml:space="preserve"> el sector palm</w:t>
      </w:r>
      <w:r w:rsidR="00F32749">
        <w:rPr>
          <w:rFonts w:ascii="Arial" w:eastAsia="Calibri" w:hAnsi="Arial" w:cs="Arial"/>
          <w:szCs w:val="22"/>
          <w:lang w:val="es-CR" w:eastAsia="en-US"/>
        </w:rPr>
        <w:t>ero</w:t>
      </w:r>
      <w:r w:rsidRPr="006F4B69">
        <w:rPr>
          <w:rFonts w:ascii="Arial" w:eastAsia="Calibri" w:hAnsi="Arial" w:cs="Arial"/>
          <w:szCs w:val="22"/>
          <w:lang w:val="es-CR" w:eastAsia="en-US"/>
        </w:rPr>
        <w:t xml:space="preserve"> ha </w:t>
      </w:r>
      <w:r w:rsidR="007B7D93">
        <w:rPr>
          <w:rFonts w:ascii="Arial" w:eastAsia="Calibri" w:hAnsi="Arial" w:cs="Arial"/>
          <w:szCs w:val="22"/>
          <w:lang w:val="es-CR" w:eastAsia="en-US"/>
        </w:rPr>
        <w:t xml:space="preserve">manifestado </w:t>
      </w:r>
      <w:r w:rsidR="00F32749">
        <w:rPr>
          <w:rFonts w:ascii="Arial" w:eastAsia="Calibri" w:hAnsi="Arial" w:cs="Arial"/>
          <w:szCs w:val="22"/>
          <w:lang w:val="es-CR" w:eastAsia="en-US"/>
        </w:rPr>
        <w:t>en varias ocasiones</w:t>
      </w:r>
      <w:r w:rsidR="00700BD2">
        <w:rPr>
          <w:rFonts w:ascii="Arial" w:eastAsia="Calibri" w:hAnsi="Arial" w:cs="Arial"/>
          <w:szCs w:val="22"/>
          <w:lang w:val="es-CR" w:eastAsia="en-US"/>
        </w:rPr>
        <w:t>,</w:t>
      </w:r>
      <w:r w:rsidR="00F32749">
        <w:rPr>
          <w:rFonts w:ascii="Arial" w:eastAsia="Calibri" w:hAnsi="Arial" w:cs="Arial"/>
          <w:szCs w:val="22"/>
          <w:lang w:val="es-CR" w:eastAsia="en-US"/>
        </w:rPr>
        <w:t xml:space="preserve"> la</w:t>
      </w:r>
      <w:r w:rsidRPr="006F4B69">
        <w:rPr>
          <w:rFonts w:ascii="Arial" w:eastAsia="Calibri" w:hAnsi="Arial" w:cs="Arial"/>
          <w:szCs w:val="22"/>
          <w:lang w:val="es-CR" w:eastAsia="en-US"/>
        </w:rPr>
        <w:t xml:space="preserve"> necesidad </w:t>
      </w:r>
      <w:r w:rsidR="00700BD2">
        <w:rPr>
          <w:rFonts w:ascii="Arial" w:eastAsia="Calibri" w:hAnsi="Arial" w:cs="Arial"/>
          <w:szCs w:val="22"/>
          <w:lang w:val="es-CR" w:eastAsia="en-US"/>
        </w:rPr>
        <w:t xml:space="preserve">de </w:t>
      </w:r>
      <w:r w:rsidR="007B7D93">
        <w:rPr>
          <w:rFonts w:ascii="Arial" w:eastAsia="Calibri" w:hAnsi="Arial" w:cs="Arial"/>
          <w:szCs w:val="22"/>
          <w:lang w:val="es-CR" w:eastAsia="en-US"/>
        </w:rPr>
        <w:t>que el</w:t>
      </w:r>
      <w:r w:rsidRPr="006F4B69">
        <w:rPr>
          <w:rFonts w:ascii="Arial" w:eastAsia="Calibri" w:hAnsi="Arial" w:cs="Arial"/>
          <w:szCs w:val="22"/>
          <w:lang w:val="es-CR" w:eastAsia="en-US"/>
        </w:rPr>
        <w:t xml:space="preserve"> aparato estatal intervenga </w:t>
      </w:r>
      <w:r w:rsidR="007B7D93">
        <w:rPr>
          <w:rFonts w:ascii="Arial" w:eastAsia="Calibri" w:hAnsi="Arial" w:cs="Arial"/>
          <w:szCs w:val="22"/>
          <w:lang w:val="es-CR" w:eastAsia="en-US"/>
        </w:rPr>
        <w:t>el mercado</w:t>
      </w:r>
      <w:r w:rsidR="00700BD2">
        <w:rPr>
          <w:rFonts w:ascii="Arial" w:eastAsia="Calibri" w:hAnsi="Arial" w:cs="Arial"/>
          <w:szCs w:val="22"/>
          <w:lang w:val="es-CR" w:eastAsia="en-US"/>
        </w:rPr>
        <w:t>,</w:t>
      </w:r>
      <w:r w:rsidRPr="006F4B69">
        <w:rPr>
          <w:rFonts w:ascii="Arial" w:eastAsia="Calibri" w:hAnsi="Arial" w:cs="Arial"/>
          <w:szCs w:val="22"/>
          <w:lang w:val="es-CR" w:eastAsia="en-US"/>
        </w:rPr>
        <w:t xml:space="preserve"> mediante una fijación de precios.</w:t>
      </w:r>
    </w:p>
    <w:p w:rsidR="006F4B69" w:rsidRPr="006F4B69" w:rsidRDefault="006F4B69" w:rsidP="006F4B69">
      <w:pPr>
        <w:spacing w:line="276" w:lineRule="auto"/>
        <w:jc w:val="both"/>
        <w:rPr>
          <w:rFonts w:ascii="Arial" w:eastAsia="Calibri" w:hAnsi="Arial" w:cs="Arial"/>
          <w:szCs w:val="22"/>
          <w:lang w:val="es-CR" w:eastAsia="en-US"/>
        </w:rPr>
      </w:pPr>
    </w:p>
    <w:p w:rsidR="006F4B69" w:rsidRPr="006F4B69" w:rsidRDefault="006F4B69" w:rsidP="006F4B69">
      <w:pPr>
        <w:spacing w:line="276" w:lineRule="auto"/>
        <w:jc w:val="both"/>
        <w:rPr>
          <w:rFonts w:ascii="Arial" w:eastAsia="Calibri" w:hAnsi="Arial" w:cs="Arial"/>
          <w:szCs w:val="22"/>
          <w:lang w:val="es-CR" w:eastAsia="en-US"/>
        </w:rPr>
      </w:pPr>
      <w:r w:rsidRPr="006F4B69">
        <w:rPr>
          <w:rFonts w:ascii="Arial" w:eastAsia="Calibri" w:hAnsi="Arial" w:cs="Arial"/>
          <w:szCs w:val="22"/>
          <w:lang w:val="es-CR" w:eastAsia="en-US"/>
        </w:rPr>
        <w:t>Ante esta situación</w:t>
      </w:r>
      <w:r w:rsidR="00700BD2">
        <w:rPr>
          <w:rFonts w:ascii="Arial" w:eastAsia="Calibri" w:hAnsi="Arial" w:cs="Arial"/>
          <w:szCs w:val="22"/>
          <w:lang w:val="es-CR" w:eastAsia="en-US"/>
        </w:rPr>
        <w:t>,</w:t>
      </w:r>
      <w:r w:rsidRPr="006F4B69">
        <w:rPr>
          <w:rFonts w:ascii="Arial" w:eastAsia="Calibri" w:hAnsi="Arial" w:cs="Arial"/>
          <w:szCs w:val="22"/>
          <w:lang w:val="es-CR" w:eastAsia="en-US"/>
        </w:rPr>
        <w:t xml:space="preserve"> en el año 2015 se realizó un </w:t>
      </w:r>
      <w:r w:rsidR="0084784A">
        <w:rPr>
          <w:rFonts w:ascii="Arial" w:eastAsia="Calibri" w:hAnsi="Arial" w:cs="Arial"/>
          <w:szCs w:val="22"/>
          <w:lang w:val="es-CR" w:eastAsia="en-US"/>
        </w:rPr>
        <w:t xml:space="preserve">primer </w:t>
      </w:r>
      <w:r w:rsidRPr="006F4B69">
        <w:rPr>
          <w:rFonts w:ascii="Arial" w:eastAsia="Calibri" w:hAnsi="Arial" w:cs="Arial"/>
          <w:szCs w:val="22"/>
          <w:lang w:val="es-CR" w:eastAsia="en-US"/>
        </w:rPr>
        <w:t>análisis, mismo que se materializó a solicitud del</w:t>
      </w:r>
      <w:r w:rsidR="0084784A">
        <w:rPr>
          <w:rFonts w:ascii="Arial" w:eastAsia="Calibri" w:hAnsi="Arial" w:cs="Arial"/>
          <w:szCs w:val="22"/>
          <w:lang w:val="es-CR" w:eastAsia="en-US"/>
        </w:rPr>
        <w:t xml:space="preserve"> aquel entonces </w:t>
      </w:r>
      <w:r w:rsidRPr="006F4B69">
        <w:rPr>
          <w:rFonts w:ascii="Arial" w:eastAsia="Calibri" w:hAnsi="Arial" w:cs="Arial"/>
          <w:szCs w:val="22"/>
          <w:lang w:val="es-CR" w:eastAsia="en-US"/>
        </w:rPr>
        <w:t>Ministro del MEIC</w:t>
      </w:r>
      <w:r w:rsidR="00700BD2">
        <w:rPr>
          <w:rFonts w:ascii="Arial" w:eastAsia="Calibri" w:hAnsi="Arial" w:cs="Arial"/>
          <w:szCs w:val="22"/>
          <w:lang w:val="es-CR" w:eastAsia="en-US"/>
        </w:rPr>
        <w:t>, don</w:t>
      </w:r>
      <w:r w:rsidRPr="006F4B69">
        <w:rPr>
          <w:rFonts w:ascii="Arial" w:eastAsia="Calibri" w:hAnsi="Arial" w:cs="Arial"/>
          <w:szCs w:val="22"/>
          <w:lang w:val="es-CR" w:eastAsia="en-US"/>
        </w:rPr>
        <w:t xml:space="preserve"> Welmer Ramos, quién mediante oficio Nº DM-663-16, solicitó a la Dirección de Investigaciones Económicas y de Mercados</w:t>
      </w:r>
      <w:r w:rsidR="008E2A47">
        <w:rPr>
          <w:rFonts w:ascii="Arial" w:eastAsia="Calibri" w:hAnsi="Arial" w:cs="Arial"/>
          <w:szCs w:val="22"/>
          <w:lang w:val="es-CR" w:eastAsia="en-US"/>
        </w:rPr>
        <w:t xml:space="preserve"> (DIEM)</w:t>
      </w:r>
      <w:r w:rsidRPr="006F4B69">
        <w:rPr>
          <w:rFonts w:ascii="Arial" w:eastAsia="Calibri" w:hAnsi="Arial" w:cs="Arial"/>
          <w:szCs w:val="22"/>
          <w:lang w:val="es-CR" w:eastAsia="en-US"/>
        </w:rPr>
        <w:t xml:space="preserve"> </w:t>
      </w:r>
      <w:r w:rsidR="0084784A">
        <w:rPr>
          <w:rFonts w:ascii="Arial" w:eastAsia="Calibri" w:hAnsi="Arial" w:cs="Arial"/>
          <w:szCs w:val="22"/>
          <w:lang w:val="es-CR" w:eastAsia="en-US"/>
        </w:rPr>
        <w:t>un</w:t>
      </w:r>
      <w:r w:rsidRPr="006F4B69">
        <w:rPr>
          <w:rFonts w:ascii="Arial" w:eastAsia="Calibri" w:hAnsi="Arial" w:cs="Arial"/>
          <w:szCs w:val="22"/>
          <w:lang w:val="es-CR" w:eastAsia="en-US"/>
        </w:rPr>
        <w:t xml:space="preserve"> estudio sobre el mecanismo de pago de la fruta de palma aceitera en Costa Rica, con el fin de identificar posibles condiciones que justificar</w:t>
      </w:r>
      <w:r w:rsidR="00D377CB">
        <w:rPr>
          <w:rFonts w:ascii="Arial" w:eastAsia="Calibri" w:hAnsi="Arial" w:cs="Arial"/>
          <w:szCs w:val="22"/>
          <w:lang w:val="es-CR" w:eastAsia="en-US"/>
        </w:rPr>
        <w:t>an</w:t>
      </w:r>
      <w:r w:rsidRPr="006F4B69">
        <w:rPr>
          <w:rFonts w:ascii="Arial" w:eastAsia="Calibri" w:hAnsi="Arial" w:cs="Arial"/>
          <w:szCs w:val="22"/>
          <w:lang w:val="es-CR" w:eastAsia="en-US"/>
        </w:rPr>
        <w:t xml:space="preserve"> o no una eventual intervención por parte del </w:t>
      </w:r>
      <w:r w:rsidR="00D377CB">
        <w:rPr>
          <w:rFonts w:ascii="Arial" w:eastAsia="Calibri" w:hAnsi="Arial" w:cs="Arial"/>
          <w:szCs w:val="22"/>
          <w:lang w:val="es-CR" w:eastAsia="en-US"/>
        </w:rPr>
        <w:t>M</w:t>
      </w:r>
      <w:r w:rsidRPr="006F4B69">
        <w:rPr>
          <w:rFonts w:ascii="Arial" w:eastAsia="Calibri" w:hAnsi="Arial" w:cs="Arial"/>
          <w:szCs w:val="22"/>
          <w:lang w:val="es-CR" w:eastAsia="en-US"/>
        </w:rPr>
        <w:t xml:space="preserve">inisterio. </w:t>
      </w:r>
    </w:p>
    <w:p w:rsidR="006F4B69" w:rsidRPr="006F4B69" w:rsidRDefault="006F4B69" w:rsidP="006F4B69">
      <w:pPr>
        <w:spacing w:line="276" w:lineRule="auto"/>
        <w:jc w:val="both"/>
        <w:rPr>
          <w:rFonts w:ascii="Arial" w:eastAsia="Calibri" w:hAnsi="Arial" w:cs="Arial"/>
          <w:szCs w:val="22"/>
          <w:lang w:val="es-CR" w:eastAsia="en-US"/>
        </w:rPr>
      </w:pPr>
    </w:p>
    <w:p w:rsidR="006F4B69" w:rsidRPr="006F4B69" w:rsidRDefault="006F4B69" w:rsidP="006F4B69">
      <w:pPr>
        <w:spacing w:line="276" w:lineRule="auto"/>
        <w:jc w:val="both"/>
        <w:rPr>
          <w:rFonts w:ascii="Arial" w:eastAsia="Calibri" w:hAnsi="Arial" w:cs="Arial"/>
          <w:szCs w:val="22"/>
          <w:lang w:val="es-CR" w:eastAsia="en-US"/>
        </w:rPr>
      </w:pPr>
      <w:r w:rsidRPr="006F4B69">
        <w:rPr>
          <w:rFonts w:ascii="Arial" w:eastAsia="Calibri" w:hAnsi="Arial" w:cs="Arial"/>
          <w:szCs w:val="22"/>
          <w:lang w:val="es-CR" w:eastAsia="en-US"/>
        </w:rPr>
        <w:t xml:space="preserve">Como resultado del estudio, se determinó que una fijación en el precio podría traer consecuencias muy negativas sobre la empresa Coopeagropal </w:t>
      </w:r>
      <w:r w:rsidR="008E2A47" w:rsidRPr="006F4B69">
        <w:rPr>
          <w:rFonts w:ascii="Arial" w:eastAsia="Calibri" w:hAnsi="Arial" w:cs="Arial"/>
          <w:szCs w:val="22"/>
          <w:lang w:val="es-CR" w:eastAsia="en-US"/>
        </w:rPr>
        <w:t xml:space="preserve">ya </w:t>
      </w:r>
      <w:r w:rsidR="008E2A47">
        <w:rPr>
          <w:rFonts w:ascii="Arial" w:eastAsia="Calibri" w:hAnsi="Arial" w:cs="Arial"/>
          <w:szCs w:val="22"/>
          <w:lang w:val="es-CR" w:eastAsia="en-US"/>
        </w:rPr>
        <w:t>que,</w:t>
      </w:r>
      <w:r w:rsidR="0084784A">
        <w:rPr>
          <w:rFonts w:ascii="Arial" w:eastAsia="Calibri" w:hAnsi="Arial" w:cs="Arial"/>
          <w:szCs w:val="22"/>
          <w:lang w:val="es-CR" w:eastAsia="en-US"/>
        </w:rPr>
        <w:t xml:space="preserve"> por su condición financiera</w:t>
      </w:r>
      <w:r w:rsidR="00D377CB">
        <w:rPr>
          <w:rFonts w:ascii="Arial" w:eastAsia="Calibri" w:hAnsi="Arial" w:cs="Arial"/>
          <w:szCs w:val="22"/>
          <w:lang w:val="es-CR" w:eastAsia="en-US"/>
        </w:rPr>
        <w:t>,</w:t>
      </w:r>
      <w:r w:rsidRPr="006F4B69">
        <w:rPr>
          <w:rFonts w:ascii="Arial" w:eastAsia="Calibri" w:hAnsi="Arial" w:cs="Arial"/>
          <w:szCs w:val="22"/>
          <w:lang w:val="es-CR" w:eastAsia="en-US"/>
        </w:rPr>
        <w:t xml:space="preserve"> una fijación de precio sería insostenible para la empresa.</w:t>
      </w:r>
    </w:p>
    <w:p w:rsidR="006F4B69" w:rsidRPr="006F4B69" w:rsidRDefault="006F4B69" w:rsidP="001078D4">
      <w:pPr>
        <w:pStyle w:val="Sinespaciado"/>
        <w:rPr>
          <w:rFonts w:eastAsia="Calibri"/>
          <w:lang w:val="es-CR" w:eastAsia="en-US"/>
        </w:rPr>
      </w:pPr>
    </w:p>
    <w:p w:rsidR="006F4B69" w:rsidRPr="006F4B69" w:rsidRDefault="006F4B69" w:rsidP="006F4B6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 xml:space="preserve">En octubre del 2015, se inician conversaciones entre </w:t>
      </w:r>
      <w:r w:rsidR="00B721BD">
        <w:rPr>
          <w:rFonts w:ascii="Arial" w:eastAsia="Calibri" w:hAnsi="Arial"/>
          <w:szCs w:val="22"/>
          <w:lang w:val="es-CR" w:eastAsia="en-US"/>
        </w:rPr>
        <w:t xml:space="preserve">la </w:t>
      </w:r>
      <w:r w:rsidR="008E2A47">
        <w:rPr>
          <w:rFonts w:ascii="Arial" w:eastAsia="Calibri" w:hAnsi="Arial"/>
          <w:szCs w:val="22"/>
          <w:lang w:val="es-CR" w:eastAsia="en-US"/>
        </w:rPr>
        <w:t xml:space="preserve">empresa </w:t>
      </w:r>
      <w:r w:rsidR="008E2A47" w:rsidRPr="006F4B69">
        <w:rPr>
          <w:rFonts w:ascii="Arial" w:eastAsia="Calibri" w:hAnsi="Arial"/>
          <w:szCs w:val="22"/>
          <w:lang w:val="es-CR" w:eastAsia="en-US"/>
        </w:rPr>
        <w:t>y</w:t>
      </w:r>
      <w:r w:rsidRPr="006F4B69">
        <w:rPr>
          <w:rFonts w:ascii="Arial" w:eastAsia="Calibri" w:hAnsi="Arial"/>
          <w:szCs w:val="22"/>
          <w:lang w:val="es-CR" w:eastAsia="en-US"/>
        </w:rPr>
        <w:t xml:space="preserve"> funcionarios del MEIC para dimensionar la problemática, y en diciembre del mismo año, la Asociación de Palmicultores del Sur (ASOPASUR) solicita una negociación del precio a Palma Tica S. A., la cual se lleva a cabo en febrero del 2016</w:t>
      </w:r>
      <w:r w:rsidR="00D377CB">
        <w:rPr>
          <w:rFonts w:ascii="Arial" w:eastAsia="Calibri" w:hAnsi="Arial"/>
          <w:szCs w:val="22"/>
          <w:lang w:val="es-CR" w:eastAsia="en-US"/>
        </w:rPr>
        <w:t>,</w:t>
      </w:r>
      <w:r w:rsidRPr="006F4B69">
        <w:rPr>
          <w:rFonts w:ascii="Arial" w:eastAsia="Calibri" w:hAnsi="Arial"/>
          <w:szCs w:val="22"/>
          <w:lang w:val="es-CR" w:eastAsia="en-US"/>
        </w:rPr>
        <w:t xml:space="preserve"> pero no hubo acuerdo. </w:t>
      </w:r>
    </w:p>
    <w:p w:rsidR="006F4B69" w:rsidRPr="006F4B69" w:rsidRDefault="006F4B69" w:rsidP="00975C50">
      <w:pPr>
        <w:pStyle w:val="Sinespaciado"/>
        <w:rPr>
          <w:rFonts w:eastAsia="Calibri"/>
          <w:lang w:val="es-CR" w:eastAsia="en-US"/>
        </w:rPr>
      </w:pPr>
    </w:p>
    <w:p w:rsidR="006F4B69" w:rsidRPr="006F4B69" w:rsidRDefault="006F4B69" w:rsidP="006F4B6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 xml:space="preserve">En enero del 2016, ASOPASUR </w:t>
      </w:r>
      <w:r w:rsidR="00D377CB">
        <w:rPr>
          <w:rFonts w:ascii="Arial" w:eastAsia="Calibri" w:hAnsi="Arial"/>
          <w:szCs w:val="22"/>
          <w:lang w:val="es-CR" w:eastAsia="en-US"/>
        </w:rPr>
        <w:t xml:space="preserve">se integra </w:t>
      </w:r>
      <w:r w:rsidRPr="006F4B69">
        <w:rPr>
          <w:rFonts w:ascii="Arial" w:eastAsia="Calibri" w:hAnsi="Arial"/>
          <w:szCs w:val="22"/>
          <w:lang w:val="es-CR" w:eastAsia="en-US"/>
        </w:rPr>
        <w:t xml:space="preserve">a la Comisión de Palmeros del Sur y en este mismo mes, funcionarios del MEIC visitan la organización para recabar información y se genera una “Carta de Compromisos” con acciones de corto, mediano y largo plazo. </w:t>
      </w:r>
    </w:p>
    <w:p w:rsidR="006F4B69" w:rsidRPr="006F4B69" w:rsidRDefault="006F4B69" w:rsidP="00975C50">
      <w:pPr>
        <w:pStyle w:val="Sinespaciado"/>
        <w:rPr>
          <w:rFonts w:eastAsia="Calibri"/>
          <w:lang w:val="es-CR" w:eastAsia="en-US"/>
        </w:rPr>
      </w:pPr>
    </w:p>
    <w:p w:rsidR="006F4B69" w:rsidRPr="006F4B69" w:rsidRDefault="006F4B69" w:rsidP="006F4B69">
      <w:pPr>
        <w:spacing w:line="276" w:lineRule="auto"/>
        <w:jc w:val="both"/>
        <w:rPr>
          <w:rFonts w:ascii="Arial" w:eastAsia="Calibri" w:hAnsi="Arial"/>
          <w:szCs w:val="22"/>
          <w:lang w:val="es-CR" w:eastAsia="en-US"/>
        </w:rPr>
      </w:pPr>
      <w:r w:rsidRPr="006F4B69">
        <w:rPr>
          <w:rFonts w:ascii="Arial" w:eastAsia="Calibri" w:hAnsi="Arial"/>
          <w:szCs w:val="22"/>
          <w:lang w:val="es-CR" w:eastAsia="en-US"/>
        </w:rPr>
        <w:t>En abril del 2016, “Los Palmeros del Sur” solicitan al MEIC la intervención del precio de compra de la fruta y en agosto del 2016</w:t>
      </w:r>
      <w:r w:rsidR="00B721BD">
        <w:rPr>
          <w:rFonts w:ascii="Arial" w:eastAsia="Calibri" w:hAnsi="Arial"/>
          <w:szCs w:val="22"/>
          <w:lang w:val="es-CR" w:eastAsia="en-US"/>
        </w:rPr>
        <w:t>,</w:t>
      </w:r>
      <w:r w:rsidR="00B721BD" w:rsidRPr="006F4B69">
        <w:rPr>
          <w:rFonts w:ascii="Arial" w:eastAsia="Calibri" w:hAnsi="Arial"/>
          <w:szCs w:val="22"/>
          <w:lang w:val="es-CR" w:eastAsia="en-US"/>
        </w:rPr>
        <w:t xml:space="preserve"> la</w:t>
      </w:r>
      <w:r w:rsidRPr="006F4B69">
        <w:rPr>
          <w:rFonts w:ascii="Arial" w:eastAsia="Calibri" w:hAnsi="Arial"/>
          <w:szCs w:val="22"/>
          <w:lang w:val="es-CR" w:eastAsia="en-US"/>
        </w:rPr>
        <w:t xml:space="preserve"> Dirección de Competencia entrega el estudio denominado “Costa Rica: producción y comercialización de palma africana” y dentro de sus principales recomendaciones está: </w:t>
      </w:r>
    </w:p>
    <w:p w:rsidR="006F4B69" w:rsidRPr="006F4B69" w:rsidRDefault="006F4B69" w:rsidP="006F4B69">
      <w:pPr>
        <w:spacing w:line="276" w:lineRule="auto"/>
        <w:jc w:val="both"/>
        <w:rPr>
          <w:rFonts w:ascii="Arial" w:eastAsia="Calibri" w:hAnsi="Arial" w:cs="Arial"/>
          <w:szCs w:val="22"/>
          <w:lang w:val="es-CR" w:eastAsia="en-US"/>
        </w:rPr>
      </w:pPr>
    </w:p>
    <w:p w:rsidR="006F4B69" w:rsidRPr="006F4B69" w:rsidRDefault="006F4B69" w:rsidP="006F4B69">
      <w:pPr>
        <w:spacing w:line="276" w:lineRule="auto"/>
        <w:ind w:left="708" w:right="730"/>
        <w:jc w:val="both"/>
        <w:rPr>
          <w:rFonts w:ascii="Arial" w:eastAsia="Calibri" w:hAnsi="Arial" w:cs="Arial"/>
          <w:i/>
          <w:szCs w:val="22"/>
          <w:lang w:val="es-CR" w:eastAsia="en-US"/>
        </w:rPr>
      </w:pPr>
      <w:r w:rsidRPr="006F4B69">
        <w:rPr>
          <w:rFonts w:ascii="Arial" w:eastAsia="Calibri" w:hAnsi="Arial" w:cs="Arial"/>
          <w:i/>
          <w:szCs w:val="22"/>
          <w:lang w:val="es-CR" w:eastAsia="en-US"/>
        </w:rPr>
        <w:t xml:space="preserve">“Que de mantenerse el modelo de precio de Canapalma, como referencia para establecer el precio de compra de la fruta, será necesario que el MEIC, valore la posibilidad de regular la actividad.” </w:t>
      </w:r>
    </w:p>
    <w:p w:rsidR="006F4B69" w:rsidRPr="006F4B69" w:rsidRDefault="006F4B69" w:rsidP="006F4B69">
      <w:pPr>
        <w:spacing w:line="276" w:lineRule="auto"/>
        <w:jc w:val="both"/>
        <w:rPr>
          <w:rFonts w:ascii="Arial" w:eastAsia="Calibri" w:hAnsi="Arial" w:cs="Arial"/>
          <w:szCs w:val="22"/>
          <w:lang w:val="es-CR" w:eastAsia="en-US"/>
        </w:rPr>
      </w:pPr>
    </w:p>
    <w:p w:rsidR="006F4B69" w:rsidRPr="006F4B69" w:rsidRDefault="006F4B69" w:rsidP="006F4B69">
      <w:pPr>
        <w:spacing w:line="276" w:lineRule="auto"/>
        <w:jc w:val="both"/>
        <w:rPr>
          <w:rFonts w:ascii="Arial" w:eastAsia="Calibri" w:hAnsi="Arial" w:cs="Arial"/>
          <w:szCs w:val="22"/>
          <w:lang w:val="es-CR" w:eastAsia="en-US"/>
        </w:rPr>
      </w:pPr>
      <w:r w:rsidRPr="006F4B69">
        <w:rPr>
          <w:rFonts w:ascii="Arial" w:eastAsia="Calibri" w:hAnsi="Arial" w:cs="Arial"/>
          <w:szCs w:val="22"/>
          <w:lang w:val="es-CR" w:eastAsia="en-US"/>
        </w:rPr>
        <w:t xml:space="preserve">Por su parte, el 2 y 3 de setiembre del 2016, el entonces Ministro de Economía, el señor Welmer Ramos y un equipo de funcionarios del MEIC, presentan en ASOPASUR y ASBAPROFA, respectivamente, los principales hallazgos del estudio elaborado por </w:t>
      </w:r>
      <w:r w:rsidR="00DB7418">
        <w:rPr>
          <w:rFonts w:ascii="Arial" w:eastAsia="Calibri" w:hAnsi="Arial" w:cs="Arial"/>
          <w:szCs w:val="22"/>
          <w:lang w:val="es-CR" w:eastAsia="en-US"/>
        </w:rPr>
        <w:t xml:space="preserve">la </w:t>
      </w:r>
      <w:r w:rsidRPr="006F4B69">
        <w:rPr>
          <w:rFonts w:ascii="Arial" w:eastAsia="Calibri" w:hAnsi="Arial" w:cs="Arial"/>
          <w:szCs w:val="22"/>
          <w:lang w:val="es-CR" w:eastAsia="en-US"/>
        </w:rPr>
        <w:t>Dirección de Competencia. En virtud de lo anterior, don Welmer Ramos</w:t>
      </w:r>
      <w:r w:rsidR="0084784A">
        <w:rPr>
          <w:rFonts w:ascii="Arial" w:eastAsia="Calibri" w:hAnsi="Arial" w:cs="Arial"/>
          <w:szCs w:val="22"/>
          <w:lang w:val="es-CR" w:eastAsia="en-US"/>
        </w:rPr>
        <w:t xml:space="preserve"> solicita (mediante el oficio Nº</w:t>
      </w:r>
      <w:r w:rsidRPr="006F4B69">
        <w:rPr>
          <w:rFonts w:ascii="Arial" w:eastAsia="Calibri" w:hAnsi="Arial" w:cs="Arial"/>
          <w:szCs w:val="22"/>
          <w:lang w:val="es-CR" w:eastAsia="en-US"/>
        </w:rPr>
        <w:t xml:space="preserve">. DM-663-16) a la Dirección de Investigaciones Económicas y de Mercados (DIEM) un análisis sobre el mecanismo de pago de la fruta de palma aceitera. </w:t>
      </w:r>
    </w:p>
    <w:p w:rsidR="006F4B69" w:rsidRPr="006F4B69" w:rsidRDefault="006F4B69" w:rsidP="00B766AB">
      <w:pPr>
        <w:pStyle w:val="Sinespaciado"/>
        <w:rPr>
          <w:rFonts w:eastAsia="Calibri"/>
          <w:lang w:val="es-CR" w:eastAsia="en-US"/>
        </w:rPr>
      </w:pPr>
    </w:p>
    <w:p w:rsidR="006F4B69" w:rsidRDefault="006F4B69" w:rsidP="006A7494">
      <w:pPr>
        <w:spacing w:line="276" w:lineRule="auto"/>
        <w:jc w:val="both"/>
        <w:rPr>
          <w:rFonts w:ascii="Arial" w:eastAsia="Calibri" w:hAnsi="Arial" w:cs="Arial"/>
          <w:szCs w:val="22"/>
          <w:lang w:val="es-CR" w:eastAsia="en-US"/>
        </w:rPr>
      </w:pPr>
      <w:r w:rsidRPr="006F4B69">
        <w:rPr>
          <w:rFonts w:ascii="Arial" w:eastAsia="Calibri" w:hAnsi="Arial" w:cs="Arial"/>
          <w:szCs w:val="22"/>
          <w:lang w:val="es-CR" w:eastAsia="en-US"/>
        </w:rPr>
        <w:t>Aunado a lo anterior, la empresa Palma Tica S. A. a mediados del mes de febrero del 2017 le solicitó al MEIC un espacio para negociar con sus proveedores, y buscar un acuerdo para modificar el mecanismo de pago que viene empleando dicha industria.</w:t>
      </w:r>
    </w:p>
    <w:p w:rsidR="00583B3C" w:rsidRDefault="00583B3C" w:rsidP="006A7494">
      <w:pPr>
        <w:spacing w:line="276" w:lineRule="auto"/>
        <w:jc w:val="both"/>
        <w:rPr>
          <w:rFonts w:ascii="Arial" w:eastAsia="Calibri" w:hAnsi="Arial" w:cs="Arial"/>
          <w:szCs w:val="22"/>
          <w:lang w:val="es-CR" w:eastAsia="en-US"/>
        </w:rPr>
      </w:pPr>
    </w:p>
    <w:p w:rsidR="00583B3C" w:rsidRDefault="00583B3C" w:rsidP="006A7494">
      <w:pPr>
        <w:spacing w:line="276" w:lineRule="auto"/>
        <w:jc w:val="both"/>
        <w:rPr>
          <w:rFonts w:ascii="Arial" w:eastAsia="Calibri" w:hAnsi="Arial" w:cs="Arial"/>
          <w:szCs w:val="22"/>
          <w:lang w:val="es-CR" w:eastAsia="en-US"/>
        </w:rPr>
      </w:pPr>
      <w:r>
        <w:rPr>
          <w:rFonts w:ascii="Arial" w:eastAsia="Calibri" w:hAnsi="Arial" w:cs="Arial"/>
          <w:szCs w:val="22"/>
          <w:lang w:val="es-CR" w:eastAsia="en-US"/>
        </w:rPr>
        <w:lastRenderedPageBreak/>
        <w:t>El 10 de marzo del 2017 se concluye</w:t>
      </w:r>
      <w:r w:rsidR="00DB7418">
        <w:rPr>
          <w:rFonts w:ascii="Arial" w:eastAsia="Calibri" w:hAnsi="Arial" w:cs="Arial"/>
          <w:szCs w:val="22"/>
          <w:lang w:val="es-CR" w:eastAsia="en-US"/>
        </w:rPr>
        <w:t xml:space="preserve"> el</w:t>
      </w:r>
      <w:r>
        <w:rPr>
          <w:rFonts w:ascii="Arial" w:eastAsia="Calibri" w:hAnsi="Arial" w:cs="Arial"/>
          <w:szCs w:val="22"/>
          <w:lang w:val="es-CR" w:eastAsia="en-US"/>
        </w:rPr>
        <w:t xml:space="preserve"> informe número DAEM-INF-003-17 denominado “Análisis del mecanismo de pago de la fruta de palma aceitera en Costa Rica”, el cual recomienda la revisión de los criterios de calidad para la formación de precios de la fruta de palma, así como la definición del precio de acuerdo a un porcentaje del precio internacional del aceite crudo, entre otros aspectos.</w:t>
      </w:r>
    </w:p>
    <w:p w:rsidR="00583B3C" w:rsidRDefault="00583B3C" w:rsidP="006A7494">
      <w:pPr>
        <w:spacing w:line="276" w:lineRule="auto"/>
        <w:jc w:val="both"/>
        <w:rPr>
          <w:rFonts w:ascii="Arial" w:eastAsia="Calibri" w:hAnsi="Arial" w:cs="Arial"/>
          <w:szCs w:val="22"/>
          <w:lang w:val="es-CR" w:eastAsia="en-US"/>
        </w:rPr>
      </w:pPr>
    </w:p>
    <w:p w:rsidR="00583B3C" w:rsidRPr="006F4B69" w:rsidRDefault="00583B3C" w:rsidP="006A7494">
      <w:pPr>
        <w:spacing w:line="276" w:lineRule="auto"/>
        <w:jc w:val="both"/>
        <w:rPr>
          <w:rFonts w:ascii="Arial" w:eastAsia="Calibri" w:hAnsi="Arial" w:cs="Arial"/>
          <w:szCs w:val="22"/>
          <w:lang w:val="es-CR" w:eastAsia="en-US"/>
        </w:rPr>
      </w:pPr>
      <w:r>
        <w:rPr>
          <w:rFonts w:ascii="Arial" w:eastAsia="Calibri" w:hAnsi="Arial" w:cs="Arial"/>
          <w:szCs w:val="22"/>
          <w:lang w:val="es-CR" w:eastAsia="en-US"/>
        </w:rPr>
        <w:t>Después de haberse concluido este análisis, se generó un proceso de diálogo entre productores, industrias extractoras e instituciones relacionadas con el mercado, del cual se generó un plan de acción y posteriormente se utilizó de insumo para la construcción de un plan estratégico sectorial y la creación de la Comisión Nacional de Palma Aceitera como espacio de gobernanza sectorial.</w:t>
      </w:r>
    </w:p>
    <w:p w:rsidR="006F4B69" w:rsidRPr="006F4B69" w:rsidRDefault="006F4B69" w:rsidP="006F4B69">
      <w:pPr>
        <w:spacing w:line="276" w:lineRule="auto"/>
        <w:jc w:val="both"/>
        <w:rPr>
          <w:rFonts w:ascii="Arial" w:eastAsia="Calibri" w:hAnsi="Arial" w:cs="Arial"/>
          <w:szCs w:val="22"/>
          <w:lang w:val="es-CR" w:eastAsia="en-US"/>
        </w:rPr>
      </w:pPr>
    </w:p>
    <w:p w:rsidR="00071EB1" w:rsidRDefault="009D2874" w:rsidP="006F4B69">
      <w:pPr>
        <w:spacing w:line="276" w:lineRule="auto"/>
        <w:jc w:val="both"/>
        <w:rPr>
          <w:rFonts w:ascii="Arial" w:eastAsia="Calibri" w:hAnsi="Arial" w:cs="Arial"/>
          <w:szCs w:val="22"/>
          <w:lang w:val="es-CR" w:eastAsia="en-US"/>
        </w:rPr>
      </w:pPr>
      <w:r>
        <w:rPr>
          <w:rFonts w:ascii="Arial" w:eastAsia="Calibri" w:hAnsi="Arial" w:cs="Arial"/>
          <w:szCs w:val="22"/>
          <w:lang w:val="es-CR" w:eastAsia="en-US"/>
        </w:rPr>
        <w:t xml:space="preserve">El 21 </w:t>
      </w:r>
      <w:r w:rsidR="008E2A47">
        <w:rPr>
          <w:rFonts w:ascii="Arial" w:eastAsia="Calibri" w:hAnsi="Arial" w:cs="Arial"/>
          <w:szCs w:val="22"/>
          <w:lang w:val="es-CR" w:eastAsia="en-US"/>
        </w:rPr>
        <w:t>de noviembre</w:t>
      </w:r>
      <w:r w:rsidR="0084784A">
        <w:rPr>
          <w:rFonts w:ascii="Arial" w:eastAsia="Calibri" w:hAnsi="Arial" w:cs="Arial"/>
          <w:szCs w:val="22"/>
          <w:lang w:val="es-CR" w:eastAsia="en-US"/>
        </w:rPr>
        <w:t xml:space="preserve"> 2018 </w:t>
      </w:r>
      <w:r>
        <w:rPr>
          <w:rFonts w:ascii="Arial" w:eastAsia="Calibri" w:hAnsi="Arial" w:cs="Arial"/>
          <w:szCs w:val="22"/>
          <w:lang w:val="es-CR" w:eastAsia="en-US"/>
        </w:rPr>
        <w:t xml:space="preserve">la DIEM recibió una </w:t>
      </w:r>
      <w:r w:rsidR="00E45FF4">
        <w:rPr>
          <w:rFonts w:ascii="Arial" w:eastAsia="Calibri" w:hAnsi="Arial" w:cs="Arial"/>
          <w:szCs w:val="22"/>
          <w:lang w:val="es-CR" w:eastAsia="en-US"/>
        </w:rPr>
        <w:t>solicitud de regulación de precios en situaciones de excepción por parte de la Asociación de Palmicultores</w:t>
      </w:r>
      <w:r w:rsidR="00071EB1">
        <w:rPr>
          <w:rFonts w:ascii="Arial" w:eastAsia="Calibri" w:hAnsi="Arial" w:cs="Arial"/>
          <w:szCs w:val="22"/>
          <w:lang w:val="es-CR" w:eastAsia="en-US"/>
        </w:rPr>
        <w:t xml:space="preserve"> del Sur (ASOPASUR), con el fin que se inicie el procedimiento para determinar si existen condiciones para regular el precio de la fruta de palma aceitera.</w:t>
      </w:r>
    </w:p>
    <w:p w:rsidR="00721831" w:rsidRDefault="00721831" w:rsidP="00975C50">
      <w:pPr>
        <w:pStyle w:val="Sinespaciado"/>
        <w:rPr>
          <w:rFonts w:eastAsia="Calibri"/>
          <w:lang w:val="es-CR" w:eastAsia="en-US"/>
        </w:rPr>
      </w:pPr>
    </w:p>
    <w:p w:rsidR="00FA656E" w:rsidRDefault="00721831" w:rsidP="006F4B69">
      <w:pPr>
        <w:spacing w:line="276" w:lineRule="auto"/>
        <w:jc w:val="both"/>
        <w:rPr>
          <w:rFonts w:ascii="Arial" w:eastAsia="Calibri" w:hAnsi="Arial" w:cs="Arial"/>
          <w:szCs w:val="22"/>
          <w:lang w:val="es-CR" w:eastAsia="en-US"/>
        </w:rPr>
      </w:pPr>
      <w:r>
        <w:rPr>
          <w:rFonts w:ascii="Arial" w:eastAsia="Calibri" w:hAnsi="Arial" w:cs="Arial"/>
          <w:szCs w:val="22"/>
          <w:lang w:val="es-CR" w:eastAsia="en-US"/>
        </w:rPr>
        <w:t xml:space="preserve">En virtud de lo anterior, se procedió a analizar si la solicitud está debidamente documentada y cumple con lo señalado en el artículo 15 </w:t>
      </w:r>
      <w:r w:rsidR="00FA656E">
        <w:rPr>
          <w:rFonts w:ascii="Arial" w:eastAsia="Calibri" w:hAnsi="Arial" w:cs="Arial"/>
          <w:szCs w:val="22"/>
          <w:lang w:val="es-CR" w:eastAsia="en-US"/>
        </w:rPr>
        <w:t>sobre el</w:t>
      </w:r>
      <w:r>
        <w:rPr>
          <w:rFonts w:ascii="Arial" w:eastAsia="Calibri" w:hAnsi="Arial" w:cs="Arial"/>
          <w:szCs w:val="22"/>
          <w:lang w:val="es-CR" w:eastAsia="en-US"/>
        </w:rPr>
        <w:t xml:space="preserve"> </w:t>
      </w:r>
      <w:r w:rsidR="00FA656E">
        <w:rPr>
          <w:rFonts w:ascii="Arial" w:eastAsia="Calibri" w:hAnsi="Arial" w:cs="Arial"/>
          <w:szCs w:val="22"/>
          <w:lang w:val="es-CR" w:eastAsia="en-US"/>
        </w:rPr>
        <w:t>i</w:t>
      </w:r>
      <w:r>
        <w:rPr>
          <w:rFonts w:ascii="Arial" w:eastAsia="Calibri" w:hAnsi="Arial" w:cs="Arial"/>
          <w:szCs w:val="22"/>
          <w:lang w:val="es-CR" w:eastAsia="en-US"/>
        </w:rPr>
        <w:t>nicio del proceso de regulación de precios</w:t>
      </w:r>
      <w:r w:rsidR="007D70BA">
        <w:rPr>
          <w:rFonts w:ascii="Arial" w:eastAsia="Calibri" w:hAnsi="Arial" w:cs="Arial"/>
          <w:szCs w:val="22"/>
          <w:lang w:val="es-CR" w:eastAsia="en-US"/>
        </w:rPr>
        <w:t>,</w:t>
      </w:r>
      <w:r w:rsidR="00FA656E">
        <w:rPr>
          <w:rFonts w:ascii="Arial" w:eastAsia="Calibri" w:hAnsi="Arial" w:cs="Arial"/>
          <w:szCs w:val="22"/>
          <w:lang w:val="es-CR" w:eastAsia="en-US"/>
        </w:rPr>
        <w:t xml:space="preserve"> según el</w:t>
      </w:r>
      <w:r>
        <w:rPr>
          <w:rFonts w:ascii="Arial" w:eastAsia="Calibri" w:hAnsi="Arial" w:cs="Arial"/>
          <w:szCs w:val="22"/>
          <w:lang w:val="es-CR" w:eastAsia="en-US"/>
        </w:rPr>
        <w:t xml:space="preserve"> Decreto Ejecutivo Nº 37899-MEIC. </w:t>
      </w:r>
      <w:r w:rsidR="008E2A47">
        <w:rPr>
          <w:rFonts w:ascii="Arial" w:eastAsia="Calibri" w:hAnsi="Arial" w:cs="Arial"/>
          <w:szCs w:val="22"/>
          <w:lang w:val="es-CR" w:eastAsia="en-US"/>
        </w:rPr>
        <w:t>Asimismo,</w:t>
      </w:r>
      <w:r>
        <w:rPr>
          <w:rFonts w:ascii="Arial" w:eastAsia="Calibri" w:hAnsi="Arial" w:cs="Arial"/>
          <w:szCs w:val="22"/>
          <w:lang w:val="es-CR" w:eastAsia="en-US"/>
        </w:rPr>
        <w:t xml:space="preserve"> en un plazo de 5 días hábiles se revisó la admisibilidad de la solicitud, según se establece en el artículo 16 del Decreto </w:t>
      </w:r>
      <w:r w:rsidR="00FA656E">
        <w:rPr>
          <w:rFonts w:ascii="Arial" w:eastAsia="Calibri" w:hAnsi="Arial" w:cs="Arial"/>
          <w:szCs w:val="22"/>
          <w:lang w:val="es-CR" w:eastAsia="en-US"/>
        </w:rPr>
        <w:t>Ejecutivo Nº 37899-MEIC.</w:t>
      </w:r>
    </w:p>
    <w:p w:rsidR="009F21B6" w:rsidRDefault="009F21B6" w:rsidP="00B766AB">
      <w:pPr>
        <w:pStyle w:val="Sinespaciado"/>
        <w:rPr>
          <w:rFonts w:eastAsia="Calibri"/>
          <w:lang w:val="es-CR" w:eastAsia="en-US"/>
        </w:rPr>
      </w:pPr>
    </w:p>
    <w:p w:rsidR="00721831" w:rsidRDefault="00FA656E" w:rsidP="006F4B69">
      <w:pPr>
        <w:spacing w:line="276" w:lineRule="auto"/>
        <w:jc w:val="both"/>
        <w:rPr>
          <w:rFonts w:ascii="Arial" w:eastAsia="Calibri" w:hAnsi="Arial" w:cs="Arial"/>
          <w:szCs w:val="22"/>
          <w:lang w:val="es-CR" w:eastAsia="en-US"/>
        </w:rPr>
      </w:pPr>
      <w:r>
        <w:rPr>
          <w:rFonts w:ascii="Arial" w:eastAsia="Calibri" w:hAnsi="Arial" w:cs="Arial"/>
          <w:szCs w:val="22"/>
          <w:lang w:val="es-CR" w:eastAsia="en-US"/>
        </w:rPr>
        <w:t>La D</w:t>
      </w:r>
      <w:r w:rsidR="009F21B6">
        <w:rPr>
          <w:rFonts w:ascii="Arial" w:eastAsia="Calibri" w:hAnsi="Arial" w:cs="Arial"/>
          <w:szCs w:val="22"/>
          <w:lang w:val="es-CR" w:eastAsia="en-US"/>
        </w:rPr>
        <w:t xml:space="preserve">irección de Investigaciones Económicas y </w:t>
      </w:r>
      <w:r w:rsidR="004748AC">
        <w:rPr>
          <w:rFonts w:ascii="Arial" w:eastAsia="Calibri" w:hAnsi="Arial" w:cs="Arial"/>
          <w:szCs w:val="22"/>
          <w:lang w:val="es-CR" w:eastAsia="en-US"/>
        </w:rPr>
        <w:t xml:space="preserve">de </w:t>
      </w:r>
      <w:r w:rsidR="009F21B6">
        <w:rPr>
          <w:rFonts w:ascii="Arial" w:eastAsia="Calibri" w:hAnsi="Arial" w:cs="Arial"/>
          <w:szCs w:val="22"/>
          <w:lang w:val="es-CR" w:eastAsia="en-US"/>
        </w:rPr>
        <w:t>Mercado</w:t>
      </w:r>
      <w:r w:rsidR="004748AC">
        <w:rPr>
          <w:rFonts w:ascii="Arial" w:eastAsia="Calibri" w:hAnsi="Arial" w:cs="Arial"/>
          <w:szCs w:val="22"/>
          <w:lang w:val="es-CR" w:eastAsia="en-US"/>
        </w:rPr>
        <w:t>s</w:t>
      </w:r>
      <w:r>
        <w:rPr>
          <w:rFonts w:ascii="Arial" w:eastAsia="Calibri" w:hAnsi="Arial" w:cs="Arial"/>
          <w:szCs w:val="22"/>
          <w:lang w:val="es-CR" w:eastAsia="en-US"/>
        </w:rPr>
        <w:t xml:space="preserve"> </w:t>
      </w:r>
      <w:r w:rsidR="009F21B6">
        <w:rPr>
          <w:rFonts w:ascii="Arial" w:eastAsia="Calibri" w:hAnsi="Arial" w:cs="Arial"/>
          <w:szCs w:val="22"/>
          <w:lang w:val="es-CR" w:eastAsia="en-US"/>
        </w:rPr>
        <w:t xml:space="preserve">mediante el oficio DIEM-OF-094-18 </w:t>
      </w:r>
      <w:r>
        <w:rPr>
          <w:rFonts w:ascii="Arial" w:eastAsia="Calibri" w:hAnsi="Arial" w:cs="Arial"/>
          <w:szCs w:val="22"/>
          <w:lang w:val="es-CR" w:eastAsia="en-US"/>
        </w:rPr>
        <w:t>determinó que ASOPASUR cumple con todos los requisitos del formulario I, que solicita el artículo</w:t>
      </w:r>
      <w:r w:rsidR="009F21B6">
        <w:rPr>
          <w:rFonts w:ascii="Arial" w:eastAsia="Calibri" w:hAnsi="Arial" w:cs="Arial"/>
          <w:szCs w:val="22"/>
          <w:lang w:val="es-CR" w:eastAsia="en-US"/>
        </w:rPr>
        <w:t xml:space="preserve"> 15. Por tanto</w:t>
      </w:r>
      <w:r w:rsidR="007D70BA">
        <w:rPr>
          <w:rFonts w:ascii="Arial" w:eastAsia="Calibri" w:hAnsi="Arial" w:cs="Arial"/>
          <w:szCs w:val="22"/>
          <w:lang w:val="es-CR" w:eastAsia="en-US"/>
        </w:rPr>
        <w:t>,</w:t>
      </w:r>
      <w:r w:rsidR="009F21B6">
        <w:rPr>
          <w:rFonts w:ascii="Arial" w:eastAsia="Calibri" w:hAnsi="Arial" w:cs="Arial"/>
          <w:szCs w:val="22"/>
          <w:lang w:val="es-CR" w:eastAsia="en-US"/>
        </w:rPr>
        <w:t xml:space="preserve"> atendiendo el artículo 17 del Decreto Ejecutivo Nº 37899-MEIC dicha Dirección queda atenta a la indicación del despacho sobre el inicio de la investigación del mercado.</w:t>
      </w:r>
    </w:p>
    <w:p w:rsidR="009F21B6" w:rsidRDefault="009F21B6" w:rsidP="006F4B69">
      <w:pPr>
        <w:spacing w:line="276" w:lineRule="auto"/>
        <w:jc w:val="both"/>
        <w:rPr>
          <w:rFonts w:ascii="Arial" w:eastAsia="Calibri" w:hAnsi="Arial" w:cs="Arial"/>
          <w:szCs w:val="22"/>
          <w:lang w:val="es-CR" w:eastAsia="en-US"/>
        </w:rPr>
      </w:pPr>
    </w:p>
    <w:p w:rsidR="009F21B6" w:rsidRDefault="009F21B6" w:rsidP="006F4B69">
      <w:pPr>
        <w:spacing w:line="276" w:lineRule="auto"/>
        <w:jc w:val="both"/>
        <w:rPr>
          <w:rFonts w:ascii="Arial" w:eastAsia="Calibri" w:hAnsi="Arial" w:cs="Arial"/>
          <w:szCs w:val="22"/>
          <w:lang w:val="es-CR" w:eastAsia="en-US"/>
        </w:rPr>
      </w:pPr>
      <w:r>
        <w:rPr>
          <w:rFonts w:ascii="Arial" w:eastAsia="Calibri" w:hAnsi="Arial" w:cs="Arial"/>
          <w:szCs w:val="22"/>
          <w:lang w:val="es-CR" w:eastAsia="en-US"/>
        </w:rPr>
        <w:t>Mediante el oficio DM-643-18 la señora Ministra</w:t>
      </w:r>
      <w:r w:rsidR="00FA35AA">
        <w:rPr>
          <w:rFonts w:ascii="Arial" w:eastAsia="Calibri" w:hAnsi="Arial" w:cs="Arial"/>
          <w:szCs w:val="22"/>
          <w:lang w:val="es-CR" w:eastAsia="en-US"/>
        </w:rPr>
        <w:t>,</w:t>
      </w:r>
      <w:r>
        <w:rPr>
          <w:rFonts w:ascii="Arial" w:eastAsia="Calibri" w:hAnsi="Arial" w:cs="Arial"/>
          <w:szCs w:val="22"/>
          <w:lang w:val="es-CR" w:eastAsia="en-US"/>
        </w:rPr>
        <w:t xml:space="preserve"> Victoria Hern</w:t>
      </w:r>
      <w:r w:rsidR="00FA35AA">
        <w:rPr>
          <w:rFonts w:ascii="Arial" w:eastAsia="Calibri" w:hAnsi="Arial" w:cs="Arial"/>
          <w:szCs w:val="22"/>
          <w:lang w:val="es-CR" w:eastAsia="en-US"/>
        </w:rPr>
        <w:t>á</w:t>
      </w:r>
      <w:r>
        <w:rPr>
          <w:rFonts w:ascii="Arial" w:eastAsia="Calibri" w:hAnsi="Arial" w:cs="Arial"/>
          <w:szCs w:val="22"/>
          <w:lang w:val="es-CR" w:eastAsia="en-US"/>
        </w:rPr>
        <w:t>ndez Mora</w:t>
      </w:r>
      <w:r w:rsidR="00FA35AA">
        <w:rPr>
          <w:rFonts w:ascii="Arial" w:eastAsia="Calibri" w:hAnsi="Arial" w:cs="Arial"/>
          <w:szCs w:val="22"/>
          <w:lang w:val="es-CR" w:eastAsia="en-US"/>
        </w:rPr>
        <w:t>,</w:t>
      </w:r>
      <w:r>
        <w:rPr>
          <w:rFonts w:ascii="Arial" w:eastAsia="Calibri" w:hAnsi="Arial" w:cs="Arial"/>
          <w:szCs w:val="22"/>
          <w:lang w:val="es-CR" w:eastAsia="en-US"/>
        </w:rPr>
        <w:t xml:space="preserve"> establece que la DIEM debe iniciar el proceso de investigación para determinar si existen condiciones de excepción para una regulación de precios, márgenes de comercialización o cualquier otra forma de control como lo indica el artículo 5 de la Ley Nº 7472.</w:t>
      </w:r>
    </w:p>
    <w:p w:rsidR="009F21B6" w:rsidRDefault="009F21B6" w:rsidP="00B766AB">
      <w:pPr>
        <w:pStyle w:val="Sinespaciado"/>
        <w:rPr>
          <w:rFonts w:eastAsia="Calibri"/>
          <w:lang w:val="es-CR" w:eastAsia="en-US"/>
        </w:rPr>
      </w:pPr>
      <w:r>
        <w:rPr>
          <w:rFonts w:eastAsia="Calibri"/>
          <w:lang w:val="es-CR" w:eastAsia="en-US"/>
        </w:rPr>
        <w:t xml:space="preserve"> </w:t>
      </w:r>
    </w:p>
    <w:p w:rsidR="0084784A" w:rsidRDefault="0084784A" w:rsidP="006F4B69">
      <w:pPr>
        <w:spacing w:line="276" w:lineRule="auto"/>
        <w:jc w:val="both"/>
        <w:rPr>
          <w:rFonts w:ascii="Arial" w:eastAsia="Calibri" w:hAnsi="Arial" w:cs="Arial"/>
          <w:szCs w:val="22"/>
          <w:lang w:val="es-CR" w:eastAsia="en-US"/>
        </w:rPr>
      </w:pPr>
    </w:p>
    <w:p w:rsidR="006F4B69" w:rsidRPr="006F4B69" w:rsidRDefault="006F4B69" w:rsidP="006F4B69">
      <w:pPr>
        <w:spacing w:line="276" w:lineRule="auto"/>
        <w:jc w:val="both"/>
        <w:rPr>
          <w:rFonts w:ascii="Arial" w:eastAsia="Calibri" w:hAnsi="Arial" w:cs="Arial"/>
          <w:szCs w:val="22"/>
          <w:lang w:val="es-CR" w:eastAsia="en-US"/>
        </w:rPr>
      </w:pPr>
      <w:r w:rsidRPr="006F4B69">
        <w:rPr>
          <w:rFonts w:ascii="Arial" w:eastAsia="Calibri" w:hAnsi="Arial" w:cs="Arial"/>
          <w:szCs w:val="22"/>
          <w:lang w:val="es-CR" w:eastAsia="en-US"/>
        </w:rPr>
        <w:lastRenderedPageBreak/>
        <w:t>Por tanto, el presente estudio responde a dicha solicitud realizada por el Despacho Ministerial, con el fin de analizar el actual procedimiento de pago y su vinculación con lo recomendado por la Dirección de Competencia, así como hacer recomendaciones relacionadas con el precio de la fruta y su mecanismo de pago.</w:t>
      </w:r>
    </w:p>
    <w:p w:rsidR="006F4B69" w:rsidRPr="006F4B69" w:rsidRDefault="006F4B69" w:rsidP="006F4B69">
      <w:pPr>
        <w:spacing w:line="276" w:lineRule="auto"/>
        <w:jc w:val="both"/>
        <w:rPr>
          <w:rFonts w:ascii="Arial" w:eastAsia="Calibri" w:hAnsi="Arial"/>
          <w:szCs w:val="22"/>
          <w:lang w:val="es-CR" w:eastAsia="en-US"/>
        </w:rPr>
      </w:pPr>
    </w:p>
    <w:p w:rsidR="009F21B6" w:rsidRPr="00E16331" w:rsidRDefault="009F21B6" w:rsidP="00E16331">
      <w:pPr>
        <w:pStyle w:val="Sinespaciado"/>
        <w:rPr>
          <w:rFonts w:eastAsia="Calibri"/>
        </w:rPr>
      </w:pPr>
    </w:p>
    <w:p w:rsidR="009F21B6" w:rsidRDefault="009F21B6" w:rsidP="003D72D0">
      <w:pPr>
        <w:pStyle w:val="Ttulo1"/>
        <w:rPr>
          <w:rFonts w:eastAsia="Calibri"/>
          <w:lang w:eastAsia="en-US"/>
        </w:rPr>
      </w:pPr>
      <w:bookmarkStart w:id="6" w:name="_Toc35865806"/>
      <w:bookmarkStart w:id="7" w:name="_Toc63666200"/>
      <w:r>
        <w:rPr>
          <w:rFonts w:eastAsia="Calibri"/>
          <w:lang w:eastAsia="en-US"/>
        </w:rPr>
        <w:t>Objetivos</w:t>
      </w:r>
      <w:bookmarkEnd w:id="6"/>
      <w:bookmarkEnd w:id="7"/>
    </w:p>
    <w:p w:rsidR="00507CDA" w:rsidRPr="00975C50" w:rsidRDefault="00507CDA" w:rsidP="00975C50">
      <w:pPr>
        <w:pStyle w:val="Sinespaciado"/>
        <w:rPr>
          <w:rFonts w:eastAsia="Calibri"/>
        </w:rPr>
      </w:pPr>
    </w:p>
    <w:p w:rsidR="006F4B69" w:rsidRPr="006F4B69" w:rsidRDefault="006F4B69" w:rsidP="003D72D0">
      <w:pPr>
        <w:pStyle w:val="Ttulo2"/>
        <w:rPr>
          <w:rFonts w:eastAsia="Calibri"/>
          <w:lang w:eastAsia="en-US"/>
        </w:rPr>
      </w:pPr>
      <w:bookmarkStart w:id="8" w:name="_Toc35865807"/>
      <w:bookmarkStart w:id="9" w:name="_Toc63666201"/>
      <w:r w:rsidRPr="006F4B69">
        <w:rPr>
          <w:rFonts w:eastAsia="Calibri"/>
          <w:lang w:eastAsia="en-US"/>
        </w:rPr>
        <w:t>Objetivo general</w:t>
      </w:r>
      <w:bookmarkEnd w:id="8"/>
      <w:bookmarkEnd w:id="9"/>
    </w:p>
    <w:p w:rsidR="006F4B69" w:rsidRPr="006F4B69" w:rsidRDefault="006F4B69" w:rsidP="00B766AB">
      <w:pPr>
        <w:pStyle w:val="Sinespaciado"/>
        <w:rPr>
          <w:rFonts w:eastAsia="Calibri"/>
          <w:lang w:eastAsia="en-US"/>
        </w:rPr>
      </w:pPr>
    </w:p>
    <w:p w:rsidR="00C039E6" w:rsidRPr="00C039E6" w:rsidRDefault="006F4B69" w:rsidP="00C039E6">
      <w:pPr>
        <w:pStyle w:val="Prrafodelista"/>
        <w:numPr>
          <w:ilvl w:val="0"/>
          <w:numId w:val="11"/>
        </w:numPr>
        <w:spacing w:line="276" w:lineRule="auto"/>
        <w:jc w:val="both"/>
        <w:rPr>
          <w:rFonts w:ascii="Arial" w:eastAsia="Calibri" w:hAnsi="Arial"/>
          <w:szCs w:val="22"/>
          <w:lang w:eastAsia="en-US"/>
        </w:rPr>
      </w:pPr>
      <w:r w:rsidRPr="002E5F75">
        <w:rPr>
          <w:rFonts w:ascii="Arial" w:eastAsia="Calibri" w:hAnsi="Arial"/>
          <w:szCs w:val="22"/>
          <w:lang w:eastAsia="en-US"/>
        </w:rPr>
        <w:t xml:space="preserve">Determinar </w:t>
      </w:r>
      <w:r w:rsidRPr="002E5F75">
        <w:rPr>
          <w:rFonts w:ascii="Arial" w:eastAsia="Calibri" w:hAnsi="Arial" w:cs="Arial"/>
          <w:lang w:eastAsia="en-US"/>
        </w:rPr>
        <w:t>si existen condiciones de excepción para una regulación de precios, márgenes de comercializa</w:t>
      </w:r>
      <w:r w:rsidR="00FA35AA">
        <w:rPr>
          <w:rFonts w:ascii="Arial" w:eastAsia="Calibri" w:hAnsi="Arial" w:cs="Arial"/>
          <w:lang w:eastAsia="en-US"/>
        </w:rPr>
        <w:t>ción</w:t>
      </w:r>
      <w:r w:rsidRPr="002E5F75">
        <w:rPr>
          <w:rFonts w:ascii="Arial" w:eastAsia="Calibri" w:hAnsi="Arial" w:cs="Arial"/>
          <w:lang w:eastAsia="en-US"/>
        </w:rPr>
        <w:t xml:space="preserve"> o </w:t>
      </w:r>
      <w:r w:rsidR="00C039E6">
        <w:rPr>
          <w:rFonts w:ascii="Arial" w:eastAsia="Calibri" w:hAnsi="Arial" w:cs="Arial"/>
          <w:lang w:eastAsia="en-US"/>
        </w:rPr>
        <w:t xml:space="preserve">cualquier otra forma de control </w:t>
      </w:r>
      <w:r w:rsidR="00C039E6" w:rsidRPr="00C039E6">
        <w:rPr>
          <w:rFonts w:ascii="Arial" w:eastAsia="Calibri" w:hAnsi="Arial" w:cs="Arial"/>
          <w:lang w:eastAsia="en-US"/>
        </w:rPr>
        <w:t>de acuerdo al artículo 5º de la Ley de Promoción de la Competencia y Defensa Efectiva del Consumidor.</w:t>
      </w:r>
    </w:p>
    <w:p w:rsidR="00C039E6" w:rsidRDefault="00C039E6" w:rsidP="009F21B6">
      <w:pPr>
        <w:spacing w:line="276" w:lineRule="auto"/>
        <w:rPr>
          <w:rFonts w:ascii="Arial" w:eastAsia="Calibri" w:hAnsi="Arial"/>
          <w:szCs w:val="22"/>
          <w:lang w:eastAsia="en-US"/>
        </w:rPr>
      </w:pPr>
    </w:p>
    <w:p w:rsidR="006F4B69" w:rsidRPr="006F4B69" w:rsidRDefault="006F4B69" w:rsidP="003D72D0">
      <w:pPr>
        <w:pStyle w:val="Ttulo2"/>
        <w:rPr>
          <w:rFonts w:eastAsia="Calibri"/>
          <w:lang w:eastAsia="en-US"/>
        </w:rPr>
      </w:pPr>
      <w:bookmarkStart w:id="10" w:name="_Toc35865808"/>
      <w:bookmarkStart w:id="11" w:name="_Toc63666202"/>
      <w:r w:rsidRPr="006F4B69">
        <w:rPr>
          <w:rFonts w:eastAsia="Calibri"/>
          <w:lang w:eastAsia="en-US"/>
        </w:rPr>
        <w:t>Objetivos específicos</w:t>
      </w:r>
      <w:bookmarkEnd w:id="10"/>
      <w:bookmarkEnd w:id="11"/>
    </w:p>
    <w:p w:rsidR="006F4B69" w:rsidRPr="006F4B69" w:rsidRDefault="006F4B69" w:rsidP="00B766AB">
      <w:pPr>
        <w:pStyle w:val="Sinespaciado"/>
        <w:rPr>
          <w:rFonts w:eastAsia="Calibri"/>
          <w:lang w:eastAsia="en-US"/>
        </w:rPr>
      </w:pPr>
    </w:p>
    <w:p w:rsidR="006F4B69" w:rsidRPr="002E5F75" w:rsidRDefault="006F4B69" w:rsidP="002E5F75">
      <w:pPr>
        <w:pStyle w:val="Prrafodelista"/>
        <w:numPr>
          <w:ilvl w:val="0"/>
          <w:numId w:val="11"/>
        </w:numPr>
        <w:spacing w:line="276" w:lineRule="auto"/>
        <w:jc w:val="both"/>
        <w:rPr>
          <w:rFonts w:ascii="Arial" w:eastAsia="Calibri" w:hAnsi="Arial"/>
          <w:szCs w:val="22"/>
          <w:lang w:eastAsia="en-US"/>
        </w:rPr>
      </w:pPr>
      <w:r w:rsidRPr="002E5F75">
        <w:rPr>
          <w:rFonts w:ascii="Arial" w:eastAsia="Calibri" w:hAnsi="Arial"/>
          <w:szCs w:val="22"/>
          <w:lang w:eastAsia="en-US"/>
        </w:rPr>
        <w:t>Realizar un análisis integral de la situación del sector y de esta manera tomar decisiones de intervención bajo un contexto más amplio.</w:t>
      </w:r>
    </w:p>
    <w:p w:rsidR="006F4B69" w:rsidRPr="006F4B69" w:rsidRDefault="006F4B69" w:rsidP="006F4B69">
      <w:pPr>
        <w:ind w:left="720"/>
        <w:jc w:val="both"/>
        <w:rPr>
          <w:rFonts w:ascii="Arial" w:eastAsia="Calibri" w:hAnsi="Arial"/>
          <w:szCs w:val="22"/>
          <w:lang w:eastAsia="en-US"/>
        </w:rPr>
      </w:pPr>
    </w:p>
    <w:p w:rsidR="006F4B69" w:rsidRPr="006F4B69" w:rsidRDefault="006F4B69" w:rsidP="006F4B69">
      <w:pPr>
        <w:ind w:left="720"/>
        <w:jc w:val="both"/>
        <w:rPr>
          <w:rFonts w:ascii="Arial" w:eastAsia="Calibri" w:hAnsi="Arial"/>
          <w:szCs w:val="22"/>
          <w:lang w:eastAsia="en-US"/>
        </w:rPr>
      </w:pPr>
    </w:p>
    <w:p w:rsidR="006F4B69" w:rsidRPr="002E5F75" w:rsidRDefault="006F4B69" w:rsidP="002E5F75">
      <w:pPr>
        <w:pStyle w:val="Prrafodelista"/>
        <w:numPr>
          <w:ilvl w:val="0"/>
          <w:numId w:val="11"/>
        </w:numPr>
        <w:spacing w:line="276" w:lineRule="auto"/>
        <w:jc w:val="both"/>
        <w:rPr>
          <w:rFonts w:ascii="Arial" w:eastAsia="Calibri" w:hAnsi="Arial"/>
          <w:szCs w:val="22"/>
          <w:lang w:eastAsia="en-US"/>
        </w:rPr>
      </w:pPr>
      <w:r w:rsidRPr="002E5F75">
        <w:rPr>
          <w:rFonts w:ascii="Arial" w:eastAsia="Calibri" w:hAnsi="Arial"/>
          <w:szCs w:val="22"/>
          <w:lang w:eastAsia="en-US"/>
        </w:rPr>
        <w:t>Analizar los posibles efectos de una intervención de mercado sobre el abastecimiento de palma aceitera.</w:t>
      </w:r>
    </w:p>
    <w:p w:rsidR="006F4B69" w:rsidRDefault="006F4B69" w:rsidP="00A21CCC">
      <w:pPr>
        <w:pStyle w:val="Sinespaciado"/>
        <w:rPr>
          <w:rFonts w:eastAsia="Calibri"/>
          <w:lang w:eastAsia="en-US"/>
        </w:rPr>
      </w:pPr>
    </w:p>
    <w:p w:rsidR="009F21B6" w:rsidRPr="00975C50" w:rsidRDefault="009F21B6" w:rsidP="00975C50">
      <w:pPr>
        <w:pStyle w:val="Sinespaciado"/>
        <w:rPr>
          <w:rFonts w:eastAsia="Calibri"/>
        </w:rPr>
      </w:pPr>
    </w:p>
    <w:p w:rsidR="006F4B69" w:rsidRPr="00A21CCC" w:rsidRDefault="00A21CCC" w:rsidP="003D72D0">
      <w:pPr>
        <w:pStyle w:val="Ttulo1"/>
        <w:rPr>
          <w:rFonts w:eastAsia="Calibri"/>
          <w:lang w:eastAsia="en-US"/>
        </w:rPr>
      </w:pPr>
      <w:bookmarkStart w:id="12" w:name="_Toc35865809"/>
      <w:bookmarkStart w:id="13" w:name="_Toc63666203"/>
      <w:bookmarkEnd w:id="0"/>
      <w:r w:rsidRPr="00A21CCC">
        <w:rPr>
          <w:rFonts w:eastAsia="Calibri"/>
          <w:lang w:eastAsia="en-US"/>
        </w:rPr>
        <w:t>Metodología</w:t>
      </w:r>
      <w:bookmarkEnd w:id="12"/>
      <w:bookmarkEnd w:id="13"/>
    </w:p>
    <w:p w:rsidR="00A21CCC" w:rsidRPr="00B766AB" w:rsidRDefault="00A21CCC" w:rsidP="00B766AB">
      <w:pPr>
        <w:pStyle w:val="Sinespaciado"/>
        <w:rPr>
          <w:rFonts w:eastAsia="Calibri"/>
        </w:rPr>
      </w:pPr>
    </w:p>
    <w:p w:rsidR="00D772F0" w:rsidRDefault="006358CE" w:rsidP="00C805C3">
      <w:pPr>
        <w:spacing w:line="276" w:lineRule="auto"/>
        <w:jc w:val="both"/>
        <w:rPr>
          <w:rFonts w:ascii="Arial" w:hAnsi="Arial" w:cs="Arial"/>
          <w:lang w:val="es-CR"/>
        </w:rPr>
      </w:pPr>
      <w:r w:rsidRPr="002B066B">
        <w:rPr>
          <w:rFonts w:ascii="Arial" w:eastAsia="Calibri" w:hAnsi="Arial" w:cs="Arial"/>
          <w:szCs w:val="22"/>
          <w:lang w:val="es-CR" w:eastAsia="en-US"/>
        </w:rPr>
        <w:t>La Dirección de Investigaciones Económicas y de Mercado (DIEM) fue la encargada de realizar este informe. La primera acción fue elaborar un oficio</w:t>
      </w:r>
      <w:r w:rsidR="00C805C3" w:rsidRPr="002B066B">
        <w:rPr>
          <w:rFonts w:ascii="Arial" w:eastAsia="Calibri" w:hAnsi="Arial" w:cs="Arial"/>
          <w:szCs w:val="22"/>
          <w:lang w:val="es-CR" w:eastAsia="en-US"/>
        </w:rPr>
        <w:t xml:space="preserve"> personalizado con los datos de cada representante legal o gerente general de la industria</w:t>
      </w:r>
      <w:r w:rsidR="00FA35AA">
        <w:rPr>
          <w:rFonts w:ascii="Arial" w:eastAsia="Calibri" w:hAnsi="Arial" w:cs="Arial"/>
          <w:szCs w:val="22"/>
          <w:lang w:val="es-CR" w:eastAsia="en-US"/>
        </w:rPr>
        <w:t xml:space="preserve"> que</w:t>
      </w:r>
      <w:r w:rsidR="0038180F">
        <w:rPr>
          <w:rFonts w:ascii="Arial" w:eastAsia="Calibri" w:hAnsi="Arial" w:cs="Arial"/>
          <w:szCs w:val="22"/>
          <w:lang w:val="es-CR" w:eastAsia="en-US"/>
        </w:rPr>
        <w:t xml:space="preserve"> </w:t>
      </w:r>
      <w:r w:rsidR="006A7494">
        <w:rPr>
          <w:rFonts w:ascii="Arial" w:eastAsia="Calibri" w:hAnsi="Arial" w:cs="Arial"/>
          <w:szCs w:val="22"/>
          <w:lang w:val="es-CR" w:eastAsia="en-US"/>
        </w:rPr>
        <w:t xml:space="preserve">produce y compra fruta de palma para la extracción de aceite crudo. </w:t>
      </w:r>
      <w:r w:rsidR="002B066B" w:rsidRPr="002B066B">
        <w:rPr>
          <w:rFonts w:ascii="Arial" w:eastAsia="Calibri" w:hAnsi="Arial" w:cs="Arial"/>
          <w:szCs w:val="22"/>
          <w:lang w:val="es-CR" w:eastAsia="en-US"/>
        </w:rPr>
        <w:t xml:space="preserve">A dicha nota se le adjuntó un archivo en Excel donde se les solicitaba </w:t>
      </w:r>
      <w:r w:rsidR="006A7494">
        <w:rPr>
          <w:rFonts w:ascii="Arial" w:eastAsia="Calibri" w:hAnsi="Arial" w:cs="Arial"/>
          <w:szCs w:val="22"/>
          <w:lang w:val="es-CR" w:eastAsia="en-US"/>
        </w:rPr>
        <w:t xml:space="preserve">información referente al año 2018.  </w:t>
      </w:r>
      <w:r>
        <w:rPr>
          <w:rFonts w:ascii="Arial" w:hAnsi="Arial" w:cs="Arial"/>
          <w:lang w:val="es-CR"/>
        </w:rPr>
        <w:t>Todo</w:t>
      </w:r>
      <w:r w:rsidRPr="00CA532B">
        <w:rPr>
          <w:rFonts w:ascii="Arial" w:hAnsi="Arial" w:cs="Arial"/>
          <w:lang w:val="es-CR"/>
        </w:rPr>
        <w:t xml:space="preserve"> esto se </w:t>
      </w:r>
      <w:r w:rsidR="008E2A47" w:rsidRPr="00CA532B">
        <w:rPr>
          <w:rFonts w:ascii="Arial" w:hAnsi="Arial" w:cs="Arial"/>
          <w:lang w:val="es-CR"/>
        </w:rPr>
        <w:t>les</w:t>
      </w:r>
      <w:r w:rsidRPr="00CA532B">
        <w:rPr>
          <w:rFonts w:ascii="Arial" w:hAnsi="Arial" w:cs="Arial"/>
          <w:lang w:val="es-CR"/>
        </w:rPr>
        <w:t xml:space="preserve"> notificó a las industrias por medio de correo electrónico. </w:t>
      </w:r>
    </w:p>
    <w:p w:rsidR="00D772F0" w:rsidRDefault="00D772F0" w:rsidP="00975C50">
      <w:pPr>
        <w:pStyle w:val="Sinespaciado"/>
        <w:rPr>
          <w:lang w:val="es-CR"/>
        </w:rPr>
      </w:pPr>
    </w:p>
    <w:p w:rsidR="006A7494" w:rsidRDefault="00B766AB" w:rsidP="00C805C3">
      <w:pPr>
        <w:spacing w:line="276" w:lineRule="auto"/>
        <w:jc w:val="both"/>
        <w:rPr>
          <w:rFonts w:ascii="Arial" w:hAnsi="Arial" w:cs="Arial"/>
          <w:lang w:val="es-CR"/>
        </w:rPr>
      </w:pPr>
      <w:r>
        <w:rPr>
          <w:rFonts w:ascii="Arial" w:hAnsi="Arial" w:cs="Arial"/>
          <w:lang w:val="es-CR"/>
        </w:rPr>
        <w:t>A l</w:t>
      </w:r>
      <w:r w:rsidR="006A7494">
        <w:rPr>
          <w:rFonts w:ascii="Arial" w:hAnsi="Arial" w:cs="Arial"/>
          <w:lang w:val="es-CR"/>
        </w:rPr>
        <w:t>as empresas</w:t>
      </w:r>
      <w:r w:rsidR="00FA35AA">
        <w:rPr>
          <w:rFonts w:ascii="Arial" w:hAnsi="Arial" w:cs="Arial"/>
          <w:lang w:val="es-CR"/>
        </w:rPr>
        <w:t xml:space="preserve"> a las</w:t>
      </w:r>
      <w:r>
        <w:rPr>
          <w:rFonts w:ascii="Arial" w:hAnsi="Arial" w:cs="Arial"/>
          <w:lang w:val="es-CR"/>
        </w:rPr>
        <w:t xml:space="preserve"> que se les solicitó información fueron</w:t>
      </w:r>
      <w:r w:rsidR="006A7494">
        <w:rPr>
          <w:rFonts w:ascii="Arial" w:hAnsi="Arial" w:cs="Arial"/>
          <w:lang w:val="es-CR"/>
        </w:rPr>
        <w:t>: Palma Tica</w:t>
      </w:r>
      <w:r>
        <w:rPr>
          <w:rFonts w:ascii="Arial" w:hAnsi="Arial" w:cs="Arial"/>
          <w:lang w:val="es-CR"/>
        </w:rPr>
        <w:t xml:space="preserve">, Coopeagropal y Palmatec, es importante indicar que todas ellas </w:t>
      </w:r>
      <w:r w:rsidR="00D772F0">
        <w:rPr>
          <w:rFonts w:ascii="Arial" w:hAnsi="Arial" w:cs="Arial"/>
          <w:lang w:val="es-CR"/>
        </w:rPr>
        <w:t xml:space="preserve">brindaron los </w:t>
      </w:r>
      <w:r w:rsidR="00D772F0">
        <w:rPr>
          <w:rFonts w:ascii="Arial" w:hAnsi="Arial" w:cs="Arial"/>
          <w:lang w:val="es-CR"/>
        </w:rPr>
        <w:lastRenderedPageBreak/>
        <w:t xml:space="preserve">datos requeridos. Palma Tica presentó la información dentro del plazo que </w:t>
      </w:r>
      <w:r w:rsidR="00E44C1C">
        <w:rPr>
          <w:rFonts w:ascii="Arial" w:hAnsi="Arial" w:cs="Arial"/>
          <w:lang w:val="es-CR"/>
        </w:rPr>
        <w:t>establece</w:t>
      </w:r>
      <w:r w:rsidR="00D772F0">
        <w:rPr>
          <w:rFonts w:ascii="Arial" w:hAnsi="Arial" w:cs="Arial"/>
          <w:lang w:val="es-CR"/>
        </w:rPr>
        <w:t xml:space="preserve"> la ley, sin </w:t>
      </w:r>
      <w:r w:rsidR="008E2A47">
        <w:rPr>
          <w:rFonts w:ascii="Arial" w:hAnsi="Arial" w:cs="Arial"/>
          <w:lang w:val="es-CR"/>
        </w:rPr>
        <w:t>embargo,</w:t>
      </w:r>
      <w:r w:rsidR="00D772F0">
        <w:rPr>
          <w:rFonts w:ascii="Arial" w:hAnsi="Arial" w:cs="Arial"/>
          <w:lang w:val="es-CR"/>
        </w:rPr>
        <w:t xml:space="preserve"> Coopeagropal y Palmatec requirieron un tiempo adicional al que </w:t>
      </w:r>
      <w:r w:rsidR="00E44C1C">
        <w:rPr>
          <w:rFonts w:ascii="Arial" w:hAnsi="Arial" w:cs="Arial"/>
          <w:lang w:val="es-CR"/>
        </w:rPr>
        <w:t>concede</w:t>
      </w:r>
      <w:r w:rsidR="00D772F0">
        <w:rPr>
          <w:rFonts w:ascii="Arial" w:hAnsi="Arial" w:cs="Arial"/>
          <w:lang w:val="es-CR"/>
        </w:rPr>
        <w:t xml:space="preserve"> la ley, esto generó un atraso importante en l</w:t>
      </w:r>
      <w:r w:rsidR="00E44C1C">
        <w:rPr>
          <w:rFonts w:ascii="Arial" w:hAnsi="Arial" w:cs="Arial"/>
          <w:lang w:val="es-CR"/>
        </w:rPr>
        <w:t>a elaboración de</w:t>
      </w:r>
      <w:r w:rsidR="00FA35AA">
        <w:rPr>
          <w:rFonts w:ascii="Arial" w:hAnsi="Arial" w:cs="Arial"/>
          <w:lang w:val="es-CR"/>
        </w:rPr>
        <w:t>l presente</w:t>
      </w:r>
      <w:r w:rsidR="00E44C1C">
        <w:rPr>
          <w:rFonts w:ascii="Arial" w:hAnsi="Arial" w:cs="Arial"/>
          <w:lang w:val="es-CR"/>
        </w:rPr>
        <w:t xml:space="preserve"> informe. Al ser muy pocos actores en el mercado era necesario brindar ese tiempo adicional para complementar la información y realizar un análisis de mercado que permita comprender </w:t>
      </w:r>
      <w:r w:rsidR="00B67678">
        <w:rPr>
          <w:rFonts w:ascii="Arial" w:hAnsi="Arial" w:cs="Arial"/>
          <w:lang w:val="es-CR"/>
        </w:rPr>
        <w:t>las industrias y su forma de operación.</w:t>
      </w:r>
    </w:p>
    <w:p w:rsidR="00C039E6" w:rsidRDefault="00C039E6" w:rsidP="00C805C3">
      <w:pPr>
        <w:spacing w:line="276" w:lineRule="auto"/>
        <w:jc w:val="both"/>
        <w:rPr>
          <w:rFonts w:ascii="Arial" w:hAnsi="Arial" w:cs="Arial"/>
          <w:lang w:val="es-CR"/>
        </w:rPr>
      </w:pPr>
    </w:p>
    <w:p w:rsidR="00187FF6" w:rsidRDefault="00B67678" w:rsidP="00C805C3">
      <w:pPr>
        <w:spacing w:line="276" w:lineRule="auto"/>
        <w:jc w:val="both"/>
        <w:rPr>
          <w:rFonts w:ascii="Arial" w:hAnsi="Arial" w:cs="Arial"/>
          <w:lang w:val="es-CR"/>
        </w:rPr>
      </w:pPr>
      <w:r>
        <w:rPr>
          <w:rFonts w:ascii="Arial" w:hAnsi="Arial" w:cs="Arial"/>
          <w:lang w:val="es-CR"/>
        </w:rPr>
        <w:t>Una vez obtenida toda la información</w:t>
      </w:r>
      <w:r w:rsidR="00FA35AA">
        <w:rPr>
          <w:rFonts w:ascii="Arial" w:hAnsi="Arial" w:cs="Arial"/>
          <w:lang w:val="es-CR"/>
        </w:rPr>
        <w:t>,</w:t>
      </w:r>
      <w:r>
        <w:rPr>
          <w:rFonts w:ascii="Arial" w:hAnsi="Arial" w:cs="Arial"/>
          <w:lang w:val="es-CR"/>
        </w:rPr>
        <w:t xml:space="preserve"> se realizar</w:t>
      </w:r>
      <w:r w:rsidR="006E0B3E">
        <w:rPr>
          <w:rFonts w:ascii="Arial" w:hAnsi="Arial" w:cs="Arial"/>
          <w:lang w:val="es-CR"/>
        </w:rPr>
        <w:t>on</w:t>
      </w:r>
      <w:r>
        <w:rPr>
          <w:rFonts w:ascii="Arial" w:hAnsi="Arial" w:cs="Arial"/>
          <w:lang w:val="es-CR"/>
        </w:rPr>
        <w:t xml:space="preserve"> varias consultas a las industrias sobre la información presentada, ya que </w:t>
      </w:r>
      <w:r w:rsidR="006E0B3E">
        <w:rPr>
          <w:rFonts w:ascii="Arial" w:hAnsi="Arial" w:cs="Arial"/>
          <w:lang w:val="es-CR"/>
        </w:rPr>
        <w:t xml:space="preserve">algunos datos </w:t>
      </w:r>
      <w:r>
        <w:rPr>
          <w:rFonts w:ascii="Arial" w:hAnsi="Arial" w:cs="Arial"/>
          <w:lang w:val="es-CR"/>
        </w:rPr>
        <w:t>no era</w:t>
      </w:r>
      <w:r w:rsidR="006E0B3E">
        <w:rPr>
          <w:rFonts w:ascii="Arial" w:hAnsi="Arial" w:cs="Arial"/>
          <w:lang w:val="es-CR"/>
        </w:rPr>
        <w:t>n</w:t>
      </w:r>
      <w:r>
        <w:rPr>
          <w:rFonts w:ascii="Arial" w:hAnsi="Arial" w:cs="Arial"/>
          <w:lang w:val="es-CR"/>
        </w:rPr>
        <w:t xml:space="preserve"> congruente</w:t>
      </w:r>
      <w:r w:rsidR="006E0B3E">
        <w:rPr>
          <w:rFonts w:ascii="Arial" w:hAnsi="Arial" w:cs="Arial"/>
          <w:lang w:val="es-CR"/>
        </w:rPr>
        <w:t>s</w:t>
      </w:r>
      <w:r>
        <w:rPr>
          <w:rFonts w:ascii="Arial" w:hAnsi="Arial" w:cs="Arial"/>
          <w:lang w:val="es-CR"/>
        </w:rPr>
        <w:t xml:space="preserve"> cuando se </w:t>
      </w:r>
      <w:r w:rsidR="00187FF6">
        <w:rPr>
          <w:rFonts w:ascii="Arial" w:hAnsi="Arial" w:cs="Arial"/>
          <w:lang w:val="es-CR"/>
        </w:rPr>
        <w:t>comparaban</w:t>
      </w:r>
      <w:r w:rsidR="006E0B3E">
        <w:rPr>
          <w:rFonts w:ascii="Arial" w:hAnsi="Arial" w:cs="Arial"/>
          <w:lang w:val="es-CR"/>
        </w:rPr>
        <w:t xml:space="preserve"> en forma conjunta, esto también generó más demora en la elaboración de este informe.</w:t>
      </w:r>
    </w:p>
    <w:p w:rsidR="007005A8" w:rsidRPr="00975C50" w:rsidRDefault="007005A8" w:rsidP="00975C50">
      <w:pPr>
        <w:pStyle w:val="Sinespaciado"/>
      </w:pPr>
    </w:p>
    <w:p w:rsidR="006E0B3E" w:rsidRPr="00975C50" w:rsidRDefault="00187FF6" w:rsidP="00975C50">
      <w:pPr>
        <w:spacing w:line="276" w:lineRule="auto"/>
        <w:jc w:val="both"/>
        <w:rPr>
          <w:rFonts w:ascii="Arial" w:hAnsi="Arial" w:cs="Arial"/>
          <w:lang w:val="es-CR"/>
        </w:rPr>
      </w:pPr>
      <w:r>
        <w:rPr>
          <w:rFonts w:ascii="Arial" w:hAnsi="Arial" w:cs="Arial"/>
          <w:lang w:val="es-CR"/>
        </w:rPr>
        <w:t>Teniendo la información de</w:t>
      </w:r>
      <w:r w:rsidR="007005A8">
        <w:rPr>
          <w:rFonts w:ascii="Arial" w:hAnsi="Arial" w:cs="Arial"/>
          <w:lang w:val="es-CR"/>
        </w:rPr>
        <w:t xml:space="preserve"> </w:t>
      </w:r>
      <w:r>
        <w:rPr>
          <w:rFonts w:ascii="Arial" w:hAnsi="Arial" w:cs="Arial"/>
          <w:lang w:val="es-CR"/>
        </w:rPr>
        <w:t xml:space="preserve">la industria </w:t>
      </w:r>
      <w:r w:rsidR="007005A8">
        <w:rPr>
          <w:rFonts w:ascii="Arial" w:hAnsi="Arial" w:cs="Arial"/>
          <w:lang w:val="es-CR"/>
        </w:rPr>
        <w:t xml:space="preserve">de forma </w:t>
      </w:r>
      <w:r>
        <w:rPr>
          <w:rFonts w:ascii="Arial" w:hAnsi="Arial" w:cs="Arial"/>
          <w:lang w:val="es-CR"/>
        </w:rPr>
        <w:t>consolidada</w:t>
      </w:r>
      <w:r w:rsidR="00FA35AA">
        <w:rPr>
          <w:rFonts w:ascii="Arial" w:hAnsi="Arial" w:cs="Arial"/>
          <w:lang w:val="es-CR"/>
        </w:rPr>
        <w:t>,</w:t>
      </w:r>
      <w:r>
        <w:rPr>
          <w:rFonts w:ascii="Arial" w:hAnsi="Arial" w:cs="Arial"/>
          <w:lang w:val="es-CR"/>
        </w:rPr>
        <w:t xml:space="preserve"> se </w:t>
      </w:r>
      <w:r w:rsidR="007005A8">
        <w:rPr>
          <w:rFonts w:ascii="Arial" w:hAnsi="Arial" w:cs="Arial"/>
          <w:lang w:val="es-CR"/>
        </w:rPr>
        <w:t xml:space="preserve">procedió a elaborar el informe planteando variables importantes para un análisis más </w:t>
      </w:r>
      <w:r w:rsidR="008E2A47">
        <w:rPr>
          <w:rFonts w:ascii="Arial" w:hAnsi="Arial" w:cs="Arial"/>
          <w:lang w:val="es-CR"/>
        </w:rPr>
        <w:t>integral del</w:t>
      </w:r>
      <w:r w:rsidR="007005A8">
        <w:rPr>
          <w:rFonts w:ascii="Arial" w:hAnsi="Arial" w:cs="Arial"/>
          <w:lang w:val="es-CR"/>
        </w:rPr>
        <w:t xml:space="preserve"> sector. </w:t>
      </w:r>
      <w:r w:rsidR="008E2A47">
        <w:rPr>
          <w:rFonts w:ascii="Arial" w:hAnsi="Arial" w:cs="Arial"/>
          <w:lang w:val="es-CR"/>
        </w:rPr>
        <w:t>Asimismo,</w:t>
      </w:r>
      <w:r w:rsidR="007005A8">
        <w:rPr>
          <w:rFonts w:ascii="Arial" w:hAnsi="Arial" w:cs="Arial"/>
          <w:lang w:val="es-CR"/>
        </w:rPr>
        <w:t xml:space="preserve"> con la ayuda del Ingeniero Joaquín Torres Acuña</w:t>
      </w:r>
      <w:r w:rsidR="00C039E6">
        <w:rPr>
          <w:rFonts w:ascii="Arial" w:hAnsi="Arial" w:cs="Arial"/>
          <w:lang w:val="es-CR"/>
        </w:rPr>
        <w:t xml:space="preserve">, Coordinador del Programa de Palma Aceitera del Ministerio de Agricultura y Ganadería, </w:t>
      </w:r>
      <w:r w:rsidR="007005A8">
        <w:rPr>
          <w:rFonts w:ascii="Arial" w:hAnsi="Arial" w:cs="Arial"/>
          <w:lang w:val="es-CR"/>
        </w:rPr>
        <w:t>se realiza una actualización del modelo de costos que fue generado en el año 2017</w:t>
      </w:r>
      <w:r w:rsidR="00FA35AA">
        <w:rPr>
          <w:rFonts w:ascii="Arial" w:hAnsi="Arial" w:cs="Arial"/>
          <w:lang w:val="es-CR"/>
        </w:rPr>
        <w:t>,</w:t>
      </w:r>
      <w:r w:rsidR="007005A8">
        <w:rPr>
          <w:rFonts w:ascii="Arial" w:hAnsi="Arial" w:cs="Arial"/>
          <w:lang w:val="es-CR"/>
        </w:rPr>
        <w:t xml:space="preserve"> con la gran diferencia que se mej</w:t>
      </w:r>
      <w:r w:rsidR="003F7749">
        <w:rPr>
          <w:rFonts w:ascii="Arial" w:hAnsi="Arial" w:cs="Arial"/>
          <w:lang w:val="es-CR"/>
        </w:rPr>
        <w:t xml:space="preserve">oró bajo el criterio experto, buscando que </w:t>
      </w:r>
      <w:r w:rsidR="00C039E6">
        <w:rPr>
          <w:rFonts w:ascii="Arial" w:hAnsi="Arial" w:cs="Arial"/>
          <w:lang w:val="es-CR"/>
        </w:rPr>
        <w:t>la estructura de costos se ajustara a mejores criterios agronómicos que la versión elaborada</w:t>
      </w:r>
      <w:r w:rsidR="003F7749">
        <w:rPr>
          <w:rFonts w:ascii="Arial" w:hAnsi="Arial" w:cs="Arial"/>
          <w:lang w:val="es-CR"/>
        </w:rPr>
        <w:t xml:space="preserve"> anteriormente. </w:t>
      </w:r>
    </w:p>
    <w:p w:rsidR="003F7749" w:rsidRPr="003F7749" w:rsidRDefault="003F7749" w:rsidP="006E0B3E">
      <w:pPr>
        <w:pStyle w:val="Sinespaciado"/>
        <w:rPr>
          <w:lang w:val="es-CR"/>
        </w:rPr>
      </w:pPr>
    </w:p>
    <w:p w:rsidR="00975C50" w:rsidRDefault="00975C50" w:rsidP="003D72D0">
      <w:pPr>
        <w:pStyle w:val="Ttulo1"/>
        <w:rPr>
          <w:rFonts w:eastAsia="Calibri"/>
          <w:lang w:eastAsia="en-US"/>
        </w:rPr>
      </w:pPr>
    </w:p>
    <w:p w:rsidR="007458D8" w:rsidRPr="007458D8" w:rsidRDefault="007458D8" w:rsidP="0088405B">
      <w:pPr>
        <w:pStyle w:val="Ttulo1"/>
        <w:rPr>
          <w:rFonts w:eastAsia="Calibri"/>
          <w:lang w:val="es-CR" w:eastAsia="en-US"/>
        </w:rPr>
      </w:pPr>
      <w:bookmarkStart w:id="14" w:name="_Toc34906760"/>
      <w:bookmarkStart w:id="15" w:name="_Toc35865810"/>
      <w:bookmarkStart w:id="16" w:name="_Toc63666204"/>
      <w:r w:rsidRPr="007458D8">
        <w:rPr>
          <w:rFonts w:eastAsia="Calibri"/>
          <w:lang w:val="es-CR" w:eastAsia="en-US"/>
        </w:rPr>
        <w:t>Caracterización del sector palmero en Costa Rica</w:t>
      </w:r>
      <w:bookmarkEnd w:id="14"/>
      <w:bookmarkEnd w:id="15"/>
      <w:bookmarkEnd w:id="16"/>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A continuación, se muestra un conjunto de variables que permiten caracterizar al sector palmero durante el período 2010-2018. </w:t>
      </w:r>
    </w:p>
    <w:p w:rsidR="007458D8" w:rsidRPr="007458D8" w:rsidRDefault="007458D8" w:rsidP="007458D8">
      <w:pPr>
        <w:rPr>
          <w:rFonts w:eastAsia="Calibri"/>
          <w:lang w:val="es-CR" w:eastAsia="en-US"/>
        </w:rPr>
      </w:pPr>
    </w:p>
    <w:p w:rsidR="007458D8" w:rsidRPr="007458D8" w:rsidRDefault="007458D8" w:rsidP="0088405B">
      <w:pPr>
        <w:pStyle w:val="Ttulo2"/>
        <w:rPr>
          <w:rFonts w:eastAsia="Calibri"/>
          <w:lang w:val="es-CR" w:eastAsia="en-US"/>
        </w:rPr>
      </w:pPr>
      <w:bookmarkStart w:id="17" w:name="_Toc34906761"/>
      <w:bookmarkStart w:id="18" w:name="_Toc35865811"/>
      <w:bookmarkStart w:id="19" w:name="_Toc63666205"/>
      <w:r w:rsidRPr="007458D8">
        <w:rPr>
          <w:rFonts w:eastAsia="Calibri"/>
          <w:lang w:val="es-CR" w:eastAsia="en-US"/>
        </w:rPr>
        <w:t>Área sembrada</w:t>
      </w:r>
      <w:bookmarkEnd w:id="17"/>
      <w:bookmarkEnd w:id="18"/>
      <w:bookmarkEnd w:id="19"/>
      <w:r w:rsidRPr="007458D8">
        <w:rPr>
          <w:rFonts w:eastAsia="Calibri"/>
          <w:lang w:val="es-CR" w:eastAsia="en-US"/>
        </w:rPr>
        <w:t xml:space="preserve"> </w:t>
      </w:r>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Durante el período 2010-2018 se observa una tendencia creciente en el área sembrada, pasando de 54 mil hectáreas en el 2010 a 64 mil en el 2018, lo que corresponde a un aumento del 18,5%. También se muestra una reducción en el área productiva </w:t>
      </w:r>
      <w:r w:rsidR="008E2A47" w:rsidRPr="007458D8">
        <w:rPr>
          <w:rFonts w:ascii="Arial" w:hAnsi="Arial" w:cs="Arial"/>
          <w:lang w:val="es-CR"/>
        </w:rPr>
        <w:t>y,</w:t>
      </w:r>
      <w:r w:rsidRPr="007458D8">
        <w:rPr>
          <w:rFonts w:ascii="Arial" w:hAnsi="Arial" w:cs="Arial"/>
          <w:lang w:val="es-CR"/>
        </w:rPr>
        <w:t xml:space="preserve"> por ende, del incremento del área no productiva en el año 2015, lo cual coincide con uno de los años en donde el precio internacional del aceite crudo llegó a sus niveles más bajos en los últimos años. </w:t>
      </w:r>
    </w:p>
    <w:p w:rsidR="007458D8" w:rsidRPr="007458D8" w:rsidRDefault="007458D8" w:rsidP="007458D8">
      <w:pPr>
        <w:spacing w:line="276" w:lineRule="auto"/>
        <w:jc w:val="both"/>
        <w:rPr>
          <w:rFonts w:ascii="Arial" w:eastAsia="Calibri" w:hAnsi="Arial" w:cs="Arial"/>
          <w:sz w:val="20"/>
          <w:szCs w:val="20"/>
          <w:lang w:val="es-CR" w:eastAsia="en-US"/>
        </w:rPr>
      </w:pPr>
      <w:r w:rsidRPr="007458D8">
        <w:rPr>
          <w:rFonts w:ascii="Arial" w:hAnsi="Arial" w:cs="Arial"/>
          <w:lang w:val="es-CR"/>
        </w:rPr>
        <w:t xml:space="preserve">   </w:t>
      </w:r>
    </w:p>
    <w:p w:rsidR="00520880" w:rsidRDefault="00520880">
      <w:pPr>
        <w:rPr>
          <w:rFonts w:ascii="Arial" w:hAnsi="Arial" w:cs="Arial"/>
          <w:bCs/>
          <w:szCs w:val="20"/>
          <w:lang w:val="es-CR"/>
        </w:rPr>
      </w:pPr>
      <w:bookmarkStart w:id="20" w:name="_Toc34744539"/>
      <w:r>
        <w:rPr>
          <w:rFonts w:ascii="Arial" w:hAnsi="Arial" w:cs="Arial"/>
          <w:bCs/>
          <w:szCs w:val="20"/>
          <w:lang w:val="es-CR"/>
        </w:rPr>
        <w:br w:type="page"/>
      </w:r>
    </w:p>
    <w:p w:rsidR="007458D8" w:rsidRPr="007458D8" w:rsidRDefault="007458D8" w:rsidP="007458D8">
      <w:pPr>
        <w:jc w:val="center"/>
        <w:rPr>
          <w:rFonts w:ascii="Arial" w:hAnsi="Arial" w:cs="Arial"/>
          <w:bCs/>
          <w:szCs w:val="20"/>
          <w:lang w:val="es-CR"/>
        </w:rPr>
      </w:pPr>
      <w:bookmarkStart w:id="21" w:name="_Toc63666246"/>
      <w:r w:rsidRPr="007458D8">
        <w:rPr>
          <w:rFonts w:ascii="Arial" w:hAnsi="Arial" w:cs="Arial"/>
          <w:bCs/>
          <w:szCs w:val="20"/>
          <w:lang w:val="es-CR"/>
        </w:rPr>
        <w:lastRenderedPageBreak/>
        <w:t xml:space="preserve">Gráfico </w:t>
      </w:r>
      <w:r w:rsidRPr="007458D8">
        <w:rPr>
          <w:rFonts w:ascii="Arial" w:hAnsi="Arial" w:cs="Arial"/>
          <w:bCs/>
          <w:szCs w:val="20"/>
          <w:lang w:val="es-CR"/>
        </w:rPr>
        <w:fldChar w:fldCharType="begin"/>
      </w:r>
      <w:r w:rsidRPr="007458D8">
        <w:rPr>
          <w:rFonts w:ascii="Arial" w:hAnsi="Arial" w:cs="Arial"/>
          <w:bCs/>
          <w:szCs w:val="20"/>
          <w:lang w:val="es-CR"/>
        </w:rPr>
        <w:instrText xml:space="preserve"> SEQ Gráfico \* ARABIC </w:instrText>
      </w:r>
      <w:r w:rsidRPr="007458D8">
        <w:rPr>
          <w:rFonts w:ascii="Arial" w:hAnsi="Arial" w:cs="Arial"/>
          <w:bCs/>
          <w:szCs w:val="20"/>
          <w:lang w:val="es-CR"/>
        </w:rPr>
        <w:fldChar w:fldCharType="separate"/>
      </w:r>
      <w:r w:rsidRPr="007458D8">
        <w:rPr>
          <w:rFonts w:ascii="Arial" w:hAnsi="Arial" w:cs="Arial"/>
          <w:bCs/>
          <w:noProof/>
          <w:szCs w:val="20"/>
          <w:lang w:val="es-CR"/>
        </w:rPr>
        <w:t>1</w:t>
      </w:r>
      <w:r w:rsidRPr="007458D8">
        <w:rPr>
          <w:rFonts w:ascii="Arial" w:hAnsi="Arial" w:cs="Arial"/>
          <w:bCs/>
          <w:szCs w:val="20"/>
          <w:lang w:val="es-CR"/>
        </w:rPr>
        <w:fldChar w:fldCharType="end"/>
      </w:r>
      <w:r w:rsidRPr="007458D8">
        <w:rPr>
          <w:rFonts w:ascii="Arial" w:hAnsi="Arial" w:cs="Arial"/>
          <w:bCs/>
          <w:szCs w:val="20"/>
          <w:lang w:val="es-CR"/>
        </w:rPr>
        <w:t>. Área sembrada de palma aceitera. Período 2010-2018</w:t>
      </w:r>
      <w:bookmarkEnd w:id="20"/>
      <w:bookmarkEnd w:id="21"/>
    </w:p>
    <w:p w:rsidR="007458D8" w:rsidRPr="007458D8" w:rsidRDefault="007458D8" w:rsidP="007458D8">
      <w:pPr>
        <w:spacing w:line="276" w:lineRule="auto"/>
        <w:jc w:val="center"/>
        <w:rPr>
          <w:rFonts w:ascii="Arial" w:eastAsia="Calibri" w:hAnsi="Arial" w:cs="Arial"/>
          <w:sz w:val="20"/>
          <w:szCs w:val="20"/>
          <w:lang w:val="es-CR" w:eastAsia="en-US"/>
        </w:rPr>
      </w:pPr>
      <w:r w:rsidRPr="007458D8">
        <w:rPr>
          <w:noProof/>
          <w:lang w:val="es-CR" w:eastAsia="es-CR"/>
        </w:rPr>
        <w:drawing>
          <wp:inline distT="0" distB="0" distL="0" distR="0" wp14:anchorId="244E1BC7" wp14:editId="638C6B2C">
            <wp:extent cx="4699591" cy="2913321"/>
            <wp:effectExtent l="0" t="0" r="6350" b="1905"/>
            <wp:docPr id="20" name="Gráfico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AA8A7-E6C6-8344-A001-F0AEF2B01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458D8" w:rsidRPr="007458D8" w:rsidRDefault="007458D8" w:rsidP="007458D8">
      <w:pPr>
        <w:spacing w:line="276" w:lineRule="auto"/>
        <w:jc w:val="center"/>
        <w:rPr>
          <w:rFonts w:ascii="Arial" w:eastAsia="Calibri" w:hAnsi="Arial" w:cs="Arial"/>
          <w:sz w:val="20"/>
          <w:szCs w:val="20"/>
          <w:lang w:val="es-CR" w:eastAsia="en-US"/>
        </w:rPr>
      </w:pPr>
      <w:r w:rsidRPr="007458D8">
        <w:rPr>
          <w:rFonts w:ascii="Arial" w:eastAsia="Calibri" w:hAnsi="Arial" w:cs="Arial"/>
          <w:sz w:val="20"/>
          <w:szCs w:val="20"/>
          <w:lang w:val="es-CR" w:eastAsia="en-US"/>
        </w:rPr>
        <w:t>Fuente: DIEM con datos de las agroindustrias. MEIC 2018</w:t>
      </w:r>
    </w:p>
    <w:p w:rsidR="007458D8" w:rsidRPr="00520880" w:rsidRDefault="007458D8" w:rsidP="00520880">
      <w:pPr>
        <w:keepNext/>
        <w:keepLines/>
        <w:spacing w:before="40"/>
        <w:outlineLvl w:val="1"/>
        <w:rPr>
          <w:rFonts w:ascii="Arial" w:eastAsia="Calibri" w:hAnsi="Arial" w:cstheme="majorBidi"/>
          <w:b/>
          <w:szCs w:val="26"/>
          <w:lang w:val="es-CR" w:eastAsia="en-US"/>
        </w:rPr>
      </w:pPr>
      <w:r w:rsidRPr="007458D8">
        <w:rPr>
          <w:rFonts w:ascii="Arial" w:eastAsia="Calibri" w:hAnsi="Arial" w:cstheme="majorBidi"/>
          <w:b/>
          <w:szCs w:val="26"/>
          <w:lang w:val="es-CR" w:eastAsia="en-US"/>
        </w:rPr>
        <w:t xml:space="preserve"> </w:t>
      </w: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Con respecto al área productiva según región para el año 2018, las 63.600 hectáreas sembradas de palma aceitera se distribuyeron de la siguiente manera, siendo la región Brunca la región con mayor cobertura de este cultivo. </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keepNext/>
        <w:jc w:val="center"/>
        <w:rPr>
          <w:rFonts w:ascii="Arial" w:hAnsi="Arial" w:cs="Arial"/>
          <w:bCs/>
          <w:szCs w:val="20"/>
          <w:lang w:val="es-CR"/>
        </w:rPr>
      </w:pPr>
      <w:bookmarkStart w:id="22" w:name="_Toc34744540"/>
      <w:bookmarkStart w:id="23" w:name="_Toc63666247"/>
      <w:r w:rsidRPr="007458D8">
        <w:rPr>
          <w:rFonts w:ascii="Arial" w:hAnsi="Arial" w:cs="Arial"/>
          <w:bCs/>
          <w:szCs w:val="20"/>
          <w:lang w:val="es-CR"/>
        </w:rPr>
        <w:t xml:space="preserve">Gráfico </w:t>
      </w:r>
      <w:r w:rsidRPr="007458D8">
        <w:rPr>
          <w:rFonts w:ascii="Arial" w:hAnsi="Arial" w:cs="Arial"/>
          <w:bCs/>
          <w:szCs w:val="20"/>
          <w:lang w:val="es-CR"/>
        </w:rPr>
        <w:fldChar w:fldCharType="begin"/>
      </w:r>
      <w:r w:rsidRPr="007458D8">
        <w:rPr>
          <w:rFonts w:ascii="Arial" w:hAnsi="Arial" w:cs="Arial"/>
          <w:bCs/>
          <w:szCs w:val="20"/>
          <w:lang w:val="es-CR"/>
        </w:rPr>
        <w:instrText xml:space="preserve"> SEQ Gráfico \* ARABIC </w:instrText>
      </w:r>
      <w:r w:rsidRPr="007458D8">
        <w:rPr>
          <w:rFonts w:ascii="Arial" w:hAnsi="Arial" w:cs="Arial"/>
          <w:bCs/>
          <w:szCs w:val="20"/>
          <w:lang w:val="es-CR"/>
        </w:rPr>
        <w:fldChar w:fldCharType="separate"/>
      </w:r>
      <w:r w:rsidRPr="007458D8">
        <w:rPr>
          <w:rFonts w:ascii="Arial" w:hAnsi="Arial" w:cs="Arial"/>
          <w:bCs/>
          <w:noProof/>
          <w:szCs w:val="20"/>
          <w:lang w:val="es-CR"/>
        </w:rPr>
        <w:t>2</w:t>
      </w:r>
      <w:r w:rsidRPr="007458D8">
        <w:rPr>
          <w:rFonts w:ascii="Arial" w:hAnsi="Arial" w:cs="Arial"/>
          <w:bCs/>
          <w:szCs w:val="20"/>
          <w:lang w:val="es-CR"/>
        </w:rPr>
        <w:fldChar w:fldCharType="end"/>
      </w:r>
      <w:r w:rsidRPr="007458D8">
        <w:rPr>
          <w:rFonts w:ascii="Arial" w:hAnsi="Arial" w:cs="Arial"/>
          <w:bCs/>
          <w:szCs w:val="20"/>
          <w:lang w:val="es-CR"/>
        </w:rPr>
        <w:t>. Distribución del área sembrada de palma aceitera según región.</w:t>
      </w:r>
      <w:bookmarkEnd w:id="22"/>
      <w:bookmarkEnd w:id="23"/>
      <w:r w:rsidRPr="007458D8">
        <w:rPr>
          <w:rFonts w:ascii="Arial" w:hAnsi="Arial" w:cs="Arial"/>
          <w:bCs/>
          <w:szCs w:val="20"/>
          <w:lang w:val="es-CR"/>
        </w:rPr>
        <w:t xml:space="preserve"> </w:t>
      </w:r>
    </w:p>
    <w:p w:rsidR="007458D8" w:rsidRPr="007458D8" w:rsidRDefault="007458D8" w:rsidP="007458D8">
      <w:pPr>
        <w:keepNext/>
        <w:jc w:val="center"/>
        <w:rPr>
          <w:rFonts w:ascii="Arial" w:hAnsi="Arial" w:cs="Arial"/>
          <w:bCs/>
          <w:szCs w:val="20"/>
          <w:lang w:val="es-CR"/>
        </w:rPr>
      </w:pPr>
      <w:r w:rsidRPr="007458D8">
        <w:rPr>
          <w:rFonts w:ascii="Arial" w:hAnsi="Arial" w:cs="Arial"/>
          <w:bCs/>
          <w:szCs w:val="20"/>
          <w:lang w:val="es-CR"/>
        </w:rPr>
        <w:t>Año 2018</w:t>
      </w:r>
    </w:p>
    <w:p w:rsidR="007458D8" w:rsidRPr="007458D8" w:rsidRDefault="007458D8" w:rsidP="007458D8">
      <w:pPr>
        <w:jc w:val="center"/>
        <w:rPr>
          <w:rFonts w:ascii="Arial" w:eastAsia="Calibri" w:hAnsi="Arial" w:cs="Arial"/>
          <w:sz w:val="20"/>
          <w:szCs w:val="20"/>
          <w:lang w:val="es-CR" w:eastAsia="en-US"/>
        </w:rPr>
      </w:pPr>
      <w:r w:rsidRPr="007458D8">
        <w:rPr>
          <w:noProof/>
          <w:lang w:val="es-CR" w:eastAsia="es-CR"/>
        </w:rPr>
        <w:drawing>
          <wp:inline distT="0" distB="0" distL="0" distR="0" wp14:anchorId="1CF85493" wp14:editId="7DD139DB">
            <wp:extent cx="4703445" cy="2533650"/>
            <wp:effectExtent l="0" t="0" r="1905" b="0"/>
            <wp:docPr id="22" name="Gráfico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440FFD-A0B6-754E-8249-6D671DD11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6F47" w:rsidRPr="007458D8" w:rsidRDefault="00246F47" w:rsidP="00246F47">
      <w:pPr>
        <w:spacing w:line="276" w:lineRule="auto"/>
        <w:jc w:val="center"/>
        <w:rPr>
          <w:rFonts w:ascii="Arial" w:eastAsia="Calibri" w:hAnsi="Arial" w:cs="Arial"/>
          <w:sz w:val="20"/>
          <w:szCs w:val="20"/>
          <w:lang w:val="es-CR" w:eastAsia="en-US"/>
        </w:rPr>
      </w:pPr>
      <w:r w:rsidRPr="007458D8">
        <w:rPr>
          <w:rFonts w:ascii="Arial" w:eastAsia="Calibri" w:hAnsi="Arial" w:cs="Arial"/>
          <w:sz w:val="20"/>
          <w:szCs w:val="20"/>
          <w:lang w:val="es-CR" w:eastAsia="en-US"/>
        </w:rPr>
        <w:t>Fuente: DIEM con datos de las agroindustrias. MEIC 2018</w:t>
      </w:r>
    </w:p>
    <w:p w:rsidR="007458D8" w:rsidRPr="007458D8" w:rsidRDefault="007458D8" w:rsidP="007458D8">
      <w:pPr>
        <w:rPr>
          <w:rFonts w:ascii="Arial" w:eastAsia="Calibri" w:hAnsi="Arial" w:cs="Arial"/>
          <w:sz w:val="20"/>
          <w:szCs w:val="20"/>
          <w:lang w:val="es-CR" w:eastAsia="en-US"/>
        </w:rPr>
      </w:pPr>
    </w:p>
    <w:p w:rsidR="007458D8" w:rsidRPr="007458D8" w:rsidRDefault="007458D8" w:rsidP="0088405B">
      <w:pPr>
        <w:pStyle w:val="Ttulo2"/>
        <w:rPr>
          <w:rFonts w:eastAsia="Calibri"/>
          <w:lang w:val="es-CR" w:eastAsia="en-US"/>
        </w:rPr>
      </w:pPr>
      <w:bookmarkStart w:id="24" w:name="_Toc34906762"/>
      <w:bookmarkStart w:id="25" w:name="_Toc35865812"/>
      <w:bookmarkStart w:id="26" w:name="_Toc63666206"/>
      <w:r w:rsidRPr="007458D8">
        <w:rPr>
          <w:rFonts w:eastAsia="Calibri"/>
          <w:lang w:val="es-CR" w:eastAsia="en-US"/>
        </w:rPr>
        <w:lastRenderedPageBreak/>
        <w:t>Producción de fruta de palma aceitera</w:t>
      </w:r>
      <w:bookmarkEnd w:id="24"/>
      <w:bookmarkEnd w:id="25"/>
      <w:bookmarkEnd w:id="26"/>
    </w:p>
    <w:p w:rsidR="007458D8" w:rsidRPr="007458D8" w:rsidRDefault="007458D8" w:rsidP="007458D8">
      <w:pPr>
        <w:rPr>
          <w:rFonts w:eastAsia="Calibri"/>
          <w:lang w:val="es-CR" w:eastAsia="en-US"/>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En el siguiente cuadro se muestra la producción de fruta de palma aceitera durante el período 2010-2018 en toneladas métricas (TM). </w:t>
      </w:r>
    </w:p>
    <w:p w:rsidR="007458D8" w:rsidRPr="007458D8" w:rsidRDefault="007458D8" w:rsidP="007458D8">
      <w:pPr>
        <w:spacing w:line="276" w:lineRule="auto"/>
        <w:jc w:val="both"/>
        <w:rPr>
          <w:rFonts w:ascii="Arial" w:hAnsi="Arial" w:cs="Arial"/>
          <w:lang w:val="es-CR"/>
        </w:rPr>
      </w:pPr>
    </w:p>
    <w:p w:rsidR="007458D8" w:rsidRPr="007458D8" w:rsidRDefault="007458D8" w:rsidP="00246F47">
      <w:pPr>
        <w:keepNext/>
        <w:jc w:val="center"/>
        <w:rPr>
          <w:rFonts w:ascii="Arial" w:hAnsi="Arial" w:cs="Arial"/>
          <w:bCs/>
          <w:lang w:val="es-CR"/>
        </w:rPr>
      </w:pPr>
      <w:bookmarkStart w:id="27" w:name="_Toc34744541"/>
      <w:bookmarkStart w:id="28" w:name="_Toc63666248"/>
      <w:r w:rsidRPr="007458D8">
        <w:rPr>
          <w:rFonts w:ascii="Arial" w:hAnsi="Arial" w:cs="Arial"/>
          <w:bCs/>
          <w:lang w:val="es-CR"/>
        </w:rPr>
        <w:t xml:space="preserve">Gráfico </w:t>
      </w:r>
      <w:r w:rsidRPr="007458D8">
        <w:rPr>
          <w:rFonts w:ascii="Arial" w:hAnsi="Arial" w:cs="Arial"/>
          <w:bCs/>
          <w:lang w:val="es-CR"/>
        </w:rPr>
        <w:fldChar w:fldCharType="begin"/>
      </w:r>
      <w:r w:rsidRPr="007458D8">
        <w:rPr>
          <w:rFonts w:ascii="Arial" w:hAnsi="Arial" w:cs="Arial"/>
          <w:bCs/>
          <w:lang w:val="es-CR"/>
        </w:rPr>
        <w:instrText xml:space="preserve"> SEQ Gráfico \* ARABIC </w:instrText>
      </w:r>
      <w:r w:rsidRPr="007458D8">
        <w:rPr>
          <w:rFonts w:ascii="Arial" w:hAnsi="Arial" w:cs="Arial"/>
          <w:bCs/>
          <w:lang w:val="es-CR"/>
        </w:rPr>
        <w:fldChar w:fldCharType="separate"/>
      </w:r>
      <w:r w:rsidRPr="007458D8">
        <w:rPr>
          <w:rFonts w:ascii="Arial" w:hAnsi="Arial" w:cs="Arial"/>
          <w:bCs/>
          <w:noProof/>
          <w:lang w:val="es-CR"/>
        </w:rPr>
        <w:t>3</w:t>
      </w:r>
      <w:r w:rsidRPr="007458D8">
        <w:rPr>
          <w:rFonts w:ascii="Arial" w:hAnsi="Arial" w:cs="Arial"/>
          <w:bCs/>
          <w:lang w:val="es-CR"/>
        </w:rPr>
        <w:fldChar w:fldCharType="end"/>
      </w:r>
      <w:r w:rsidRPr="007458D8">
        <w:rPr>
          <w:rFonts w:ascii="Arial" w:hAnsi="Arial" w:cs="Arial"/>
          <w:bCs/>
          <w:lang w:val="es-CR"/>
        </w:rPr>
        <w:t>. Producción de fruta de palma aceitera en Costa Rica, en toneladas métricas durante el período 2010-2018</w:t>
      </w:r>
      <w:bookmarkEnd w:id="27"/>
      <w:bookmarkEnd w:id="28"/>
    </w:p>
    <w:p w:rsidR="007458D8" w:rsidRDefault="007458D8" w:rsidP="007458D8">
      <w:pPr>
        <w:spacing w:line="276" w:lineRule="auto"/>
        <w:jc w:val="center"/>
        <w:rPr>
          <w:noProof/>
          <w:lang w:val="es-CR" w:eastAsia="es-CR"/>
        </w:rPr>
      </w:pPr>
    </w:p>
    <w:p w:rsidR="0043370A" w:rsidRPr="007458D8" w:rsidRDefault="0043370A" w:rsidP="007458D8">
      <w:pPr>
        <w:spacing w:line="276" w:lineRule="auto"/>
        <w:jc w:val="center"/>
        <w:rPr>
          <w:rFonts w:ascii="Arial" w:hAnsi="Arial" w:cs="Arial"/>
          <w:lang w:val="es-CR"/>
        </w:rPr>
      </w:pPr>
      <w:r>
        <w:rPr>
          <w:noProof/>
          <w:lang w:val="es-CR" w:eastAsia="es-CR"/>
        </w:rPr>
        <w:drawing>
          <wp:inline distT="0" distB="0" distL="0" distR="0" wp14:anchorId="26F31F03" wp14:editId="57F978B3">
            <wp:extent cx="5353050" cy="2881313"/>
            <wp:effectExtent l="0" t="0" r="0" b="14605"/>
            <wp:docPr id="8" name="Gráfico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900C4C-2E03-4588-93B8-CA4A2DE5A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58D8" w:rsidRPr="007458D8" w:rsidRDefault="007458D8" w:rsidP="007458D8">
      <w:pPr>
        <w:spacing w:line="276" w:lineRule="auto"/>
        <w:ind w:left="708" w:firstLine="708"/>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w:t>
      </w:r>
      <w:r w:rsidR="0043370A">
        <w:rPr>
          <w:rFonts w:ascii="Arial" w:eastAsia="Calibri" w:hAnsi="Arial" w:cs="Arial"/>
          <w:sz w:val="20"/>
          <w:szCs w:val="20"/>
          <w:lang w:val="es-CR" w:eastAsia="en-US"/>
        </w:rPr>
        <w:t>l MAG-SEPSA</w:t>
      </w:r>
      <w:r w:rsidRPr="007458D8">
        <w:rPr>
          <w:rFonts w:ascii="Arial" w:eastAsia="Calibri" w:hAnsi="Arial" w:cs="Arial"/>
          <w:sz w:val="20"/>
          <w:szCs w:val="20"/>
          <w:lang w:val="es-CR" w:eastAsia="en-US"/>
        </w:rPr>
        <w:t>. 2018</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Se observa una tendencia creciente en la producción, con un crecimiento del </w:t>
      </w:r>
      <w:r w:rsidR="0043370A">
        <w:rPr>
          <w:rFonts w:ascii="Arial" w:hAnsi="Arial" w:cs="Arial"/>
          <w:lang w:val="es-CR"/>
        </w:rPr>
        <w:t>13</w:t>
      </w:r>
      <w:r w:rsidRPr="007458D8">
        <w:rPr>
          <w:rFonts w:ascii="Arial" w:hAnsi="Arial" w:cs="Arial"/>
          <w:lang w:val="es-CR"/>
        </w:rPr>
        <w:t xml:space="preserve">% para el período observado. </w:t>
      </w:r>
    </w:p>
    <w:p w:rsidR="007458D8" w:rsidRPr="007458D8" w:rsidRDefault="007458D8" w:rsidP="007458D8">
      <w:pPr>
        <w:spacing w:line="276" w:lineRule="auto"/>
        <w:jc w:val="both"/>
        <w:rPr>
          <w:rFonts w:ascii="Arial" w:hAnsi="Arial" w:cs="Arial"/>
          <w:lang w:val="es-CR"/>
        </w:rPr>
      </w:pPr>
    </w:p>
    <w:p w:rsidR="007458D8" w:rsidRPr="007458D8" w:rsidRDefault="007458D8" w:rsidP="0088405B">
      <w:pPr>
        <w:pStyle w:val="Ttulo2"/>
        <w:rPr>
          <w:rFonts w:eastAsia="Calibri"/>
          <w:lang w:val="es-CR" w:eastAsia="en-US"/>
        </w:rPr>
      </w:pPr>
      <w:bookmarkStart w:id="29" w:name="_Toc34906763"/>
      <w:bookmarkStart w:id="30" w:name="_Toc35865813"/>
      <w:bookmarkStart w:id="31" w:name="_Toc63666207"/>
      <w:r w:rsidRPr="007458D8">
        <w:rPr>
          <w:rFonts w:eastAsia="Calibri"/>
          <w:lang w:val="es-CR" w:eastAsia="en-US"/>
        </w:rPr>
        <w:t>Rendimiento</w:t>
      </w:r>
      <w:bookmarkEnd w:id="29"/>
      <w:bookmarkEnd w:id="30"/>
      <w:bookmarkEnd w:id="31"/>
    </w:p>
    <w:p w:rsidR="007458D8" w:rsidRPr="007458D8" w:rsidRDefault="007458D8" w:rsidP="007458D8">
      <w:pPr>
        <w:rPr>
          <w:rFonts w:eastAsia="Calibri"/>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En el siguiente cuadro se presenta el rendimiento de la fruta de palma, el cual se obtiene de dividir la producción de fruta en toneladas métricas entre el área de producción de cada año. </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eastAsia="Calibri" w:hAnsi="Arial" w:cs="Arial"/>
          <w:b/>
          <w:sz w:val="28"/>
          <w:lang w:val="es-CR" w:eastAsia="en-US"/>
        </w:rPr>
      </w:pPr>
      <w:r w:rsidRPr="007458D8">
        <w:rPr>
          <w:rFonts w:ascii="Arial" w:hAnsi="Arial" w:cs="Arial"/>
          <w:lang w:val="es-CR"/>
        </w:rPr>
        <w:t>Los rendimientos han sido muy variables, en el 2010 se reportó una productividad de 17,9 TM por Ha y en el 2018 fue de 16,7 TM/Ha, asimismo, se observa una caí</w:t>
      </w:r>
      <w:r w:rsidR="00DB7418">
        <w:rPr>
          <w:rFonts w:ascii="Arial" w:hAnsi="Arial" w:cs="Arial"/>
          <w:lang w:val="es-CR"/>
        </w:rPr>
        <w:t>d</w:t>
      </w:r>
      <w:r w:rsidRPr="007458D8">
        <w:rPr>
          <w:rFonts w:ascii="Arial" w:hAnsi="Arial" w:cs="Arial"/>
          <w:lang w:val="es-CR"/>
        </w:rPr>
        <w:t>a en el 2015 llegando 14 TM/Ha.</w:t>
      </w:r>
    </w:p>
    <w:p w:rsidR="007458D8" w:rsidRPr="007458D8" w:rsidRDefault="007458D8" w:rsidP="007458D8">
      <w:pPr>
        <w:spacing w:line="276" w:lineRule="auto"/>
        <w:rPr>
          <w:rFonts w:ascii="Arial" w:eastAsia="Calibri" w:hAnsi="Arial" w:cs="Arial"/>
          <w:b/>
          <w:sz w:val="28"/>
          <w:lang w:val="es-CR" w:eastAsia="en-US"/>
        </w:rPr>
      </w:pPr>
    </w:p>
    <w:p w:rsidR="007458D8" w:rsidRPr="007458D8" w:rsidRDefault="007458D8" w:rsidP="007458D8">
      <w:pPr>
        <w:rPr>
          <w:rFonts w:ascii="Arial" w:eastAsia="Calibri" w:hAnsi="Arial" w:cs="Arial"/>
          <w:sz w:val="20"/>
          <w:szCs w:val="20"/>
          <w:lang w:val="es-CR" w:eastAsia="en-US"/>
        </w:rPr>
      </w:pPr>
    </w:p>
    <w:p w:rsidR="007458D8" w:rsidRPr="007458D8" w:rsidRDefault="007458D8" w:rsidP="007458D8">
      <w:pPr>
        <w:keepNext/>
        <w:jc w:val="center"/>
        <w:rPr>
          <w:rFonts w:ascii="Arial" w:hAnsi="Arial" w:cs="Arial"/>
          <w:bCs/>
          <w:szCs w:val="20"/>
          <w:lang w:val="es-CR"/>
        </w:rPr>
      </w:pPr>
      <w:bookmarkStart w:id="32" w:name="_Toc34744542"/>
      <w:bookmarkStart w:id="33" w:name="_Toc63666249"/>
      <w:r w:rsidRPr="007458D8">
        <w:rPr>
          <w:rFonts w:ascii="Arial" w:hAnsi="Arial" w:cs="Arial"/>
          <w:bCs/>
          <w:szCs w:val="20"/>
          <w:lang w:val="es-CR"/>
        </w:rPr>
        <w:t xml:space="preserve">Gráfico </w:t>
      </w:r>
      <w:r w:rsidRPr="007458D8">
        <w:rPr>
          <w:rFonts w:ascii="Arial" w:hAnsi="Arial" w:cs="Arial"/>
          <w:bCs/>
          <w:szCs w:val="20"/>
          <w:lang w:val="es-CR"/>
        </w:rPr>
        <w:fldChar w:fldCharType="begin"/>
      </w:r>
      <w:r w:rsidRPr="007458D8">
        <w:rPr>
          <w:rFonts w:ascii="Arial" w:hAnsi="Arial" w:cs="Arial"/>
          <w:bCs/>
          <w:szCs w:val="20"/>
          <w:lang w:val="es-CR"/>
        </w:rPr>
        <w:instrText xml:space="preserve"> SEQ Gráfico \* ARABIC </w:instrText>
      </w:r>
      <w:r w:rsidRPr="007458D8">
        <w:rPr>
          <w:rFonts w:ascii="Arial" w:hAnsi="Arial" w:cs="Arial"/>
          <w:bCs/>
          <w:szCs w:val="20"/>
          <w:lang w:val="es-CR"/>
        </w:rPr>
        <w:fldChar w:fldCharType="separate"/>
      </w:r>
      <w:r w:rsidRPr="007458D8">
        <w:rPr>
          <w:rFonts w:ascii="Arial" w:hAnsi="Arial" w:cs="Arial"/>
          <w:bCs/>
          <w:noProof/>
          <w:szCs w:val="20"/>
          <w:lang w:val="es-CR"/>
        </w:rPr>
        <w:t>4</w:t>
      </w:r>
      <w:r w:rsidRPr="007458D8">
        <w:rPr>
          <w:rFonts w:ascii="Arial" w:hAnsi="Arial" w:cs="Arial"/>
          <w:bCs/>
          <w:szCs w:val="20"/>
          <w:lang w:val="es-CR"/>
        </w:rPr>
        <w:fldChar w:fldCharType="end"/>
      </w:r>
      <w:r w:rsidRPr="007458D8">
        <w:rPr>
          <w:rFonts w:ascii="Arial" w:hAnsi="Arial" w:cs="Arial"/>
          <w:bCs/>
          <w:szCs w:val="20"/>
          <w:lang w:val="es-CR"/>
        </w:rPr>
        <w:t>. Rendimiento de fruta de palma aceitera en Costa Rica, período 2010-2018</w:t>
      </w:r>
      <w:bookmarkEnd w:id="32"/>
      <w:bookmarkEnd w:id="33"/>
    </w:p>
    <w:p w:rsidR="007458D8" w:rsidRPr="007458D8" w:rsidRDefault="007458D8" w:rsidP="007458D8">
      <w:pPr>
        <w:jc w:val="center"/>
        <w:rPr>
          <w:rFonts w:ascii="Arial" w:eastAsia="Calibri" w:hAnsi="Arial" w:cs="Arial"/>
          <w:sz w:val="20"/>
          <w:szCs w:val="20"/>
          <w:lang w:val="es-CR" w:eastAsia="en-US"/>
        </w:rPr>
      </w:pPr>
      <w:r w:rsidRPr="007458D8">
        <w:rPr>
          <w:noProof/>
          <w:lang w:val="es-CR" w:eastAsia="es-CR"/>
        </w:rPr>
        <w:drawing>
          <wp:inline distT="0" distB="0" distL="0" distR="0" wp14:anchorId="46E02048" wp14:editId="1F43378F">
            <wp:extent cx="5647554" cy="2793688"/>
            <wp:effectExtent l="0" t="0" r="0" b="698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58D8" w:rsidRPr="007458D8" w:rsidRDefault="007458D8" w:rsidP="007458D8">
      <w:pPr>
        <w:jc w:val="center"/>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MEIC 2018</w:t>
      </w:r>
    </w:p>
    <w:p w:rsidR="007458D8" w:rsidRPr="007458D8" w:rsidRDefault="007458D8" w:rsidP="007458D8">
      <w:pPr>
        <w:rPr>
          <w:rFonts w:eastAsia="Calibri"/>
          <w:lang w:val="es-CR" w:eastAsia="en-US"/>
        </w:rPr>
      </w:pPr>
    </w:p>
    <w:p w:rsidR="007458D8" w:rsidRPr="007458D8" w:rsidRDefault="007458D8" w:rsidP="007458D8">
      <w:pPr>
        <w:rPr>
          <w:rFonts w:eastAsia="Calibri"/>
          <w:lang w:val="es-CR"/>
        </w:rPr>
      </w:pPr>
    </w:p>
    <w:p w:rsidR="007458D8" w:rsidRPr="007458D8" w:rsidRDefault="007458D8" w:rsidP="0088405B">
      <w:pPr>
        <w:pStyle w:val="Ttulo2"/>
        <w:rPr>
          <w:rFonts w:eastAsia="Calibri"/>
          <w:lang w:val="es-CR" w:eastAsia="en-US"/>
        </w:rPr>
      </w:pPr>
      <w:bookmarkStart w:id="34" w:name="_Toc34906764"/>
      <w:bookmarkStart w:id="35" w:name="_Toc35865814"/>
      <w:bookmarkStart w:id="36" w:name="_Toc63666208"/>
      <w:r w:rsidRPr="007458D8">
        <w:rPr>
          <w:rFonts w:eastAsia="Calibri"/>
          <w:lang w:val="es-CR" w:eastAsia="en-US"/>
        </w:rPr>
        <w:t>Palmicultor</w:t>
      </w:r>
      <w:bookmarkEnd w:id="34"/>
      <w:bookmarkEnd w:id="35"/>
      <w:bookmarkEnd w:id="36"/>
    </w:p>
    <w:p w:rsidR="007458D8" w:rsidRPr="007458D8" w:rsidRDefault="007458D8" w:rsidP="007458D8">
      <w:pPr>
        <w:rPr>
          <w:highlight w:val="yellow"/>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La cantidad de productores en el sector palmero no es un dato exacto, actualmente se habla de más 3.000 productores. La razón principal por la cual no se cuenta con un registro exacto y confiable se origina porque un productor puede vender a una o más industrias.</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La Cámara Nacional de Palmeros (CANAPALMA) registra productores, pero los datos se encuentran contabilizados de forma doble o de forma triple, porque solo registra a quien vende independientemente si es un mismo productor lo que ocasiona que sea un dato contabilizado en forma doble o triple.</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Este dato de </w:t>
      </w:r>
      <w:r w:rsidR="00D856E1">
        <w:rPr>
          <w:rFonts w:ascii="Arial" w:hAnsi="Arial" w:cs="Arial"/>
          <w:lang w:val="es-CR"/>
        </w:rPr>
        <w:t xml:space="preserve">un poco </w:t>
      </w:r>
      <w:r w:rsidRPr="007458D8">
        <w:rPr>
          <w:rFonts w:ascii="Arial" w:hAnsi="Arial" w:cs="Arial"/>
          <w:lang w:val="es-CR"/>
        </w:rPr>
        <w:t xml:space="preserve">más de 3.000 productores se </w:t>
      </w:r>
      <w:r w:rsidR="00D856E1">
        <w:rPr>
          <w:rFonts w:ascii="Arial" w:hAnsi="Arial" w:cs="Arial"/>
          <w:lang w:val="es-CR"/>
        </w:rPr>
        <w:t xml:space="preserve">obtiene </w:t>
      </w:r>
      <w:r w:rsidRPr="007458D8">
        <w:rPr>
          <w:rFonts w:ascii="Arial" w:hAnsi="Arial" w:cs="Arial"/>
          <w:lang w:val="es-CR"/>
        </w:rPr>
        <w:t xml:space="preserve">porque actualmente el Ingeniero Joaquín Torres ha generado un censo para determinar con exactitud el dato de productores, este proceso ha sido utilizado con el fin de mejorar las condiciones de deuda de los palmicultores con los bancos; el censo contiene información sobre genero del productor, edad, tamaño de finca, área dedicada a </w:t>
      </w:r>
      <w:r w:rsidRPr="007458D8">
        <w:rPr>
          <w:rFonts w:ascii="Arial" w:hAnsi="Arial" w:cs="Arial"/>
          <w:lang w:val="es-CR"/>
        </w:rPr>
        <w:lastRenderedPageBreak/>
        <w:t>la producción, actividad alterna que realiza, si cuenta con deuda, el monto adeudado, el estado de la deuda (si tiene morosidad), integrantes del núcleo familiar, entre otras variables.</w:t>
      </w:r>
    </w:p>
    <w:p w:rsidR="007458D8" w:rsidRPr="007458D8" w:rsidRDefault="007458D8" w:rsidP="007458D8">
      <w:pPr>
        <w:spacing w:line="276" w:lineRule="auto"/>
        <w:jc w:val="both"/>
        <w:rPr>
          <w:rFonts w:ascii="Arial" w:eastAsia="Calibri" w:hAnsi="Arial" w:cs="Arial"/>
          <w:lang w:val="es-CR" w:eastAsia="en-US"/>
        </w:rPr>
      </w:pPr>
    </w:p>
    <w:p w:rsidR="007458D8" w:rsidRPr="007458D8" w:rsidRDefault="007458D8" w:rsidP="0088405B">
      <w:pPr>
        <w:pStyle w:val="Ttulo2"/>
        <w:rPr>
          <w:rFonts w:eastAsia="Calibri"/>
          <w:lang w:val="es-CR" w:eastAsia="en-US"/>
        </w:rPr>
      </w:pPr>
      <w:bookmarkStart w:id="37" w:name="_Toc34906765"/>
      <w:bookmarkStart w:id="38" w:name="_Toc35865815"/>
      <w:bookmarkStart w:id="39" w:name="_Toc63666209"/>
      <w:r w:rsidRPr="007458D8">
        <w:rPr>
          <w:rFonts w:eastAsia="Calibri"/>
          <w:lang w:val="es-CR" w:eastAsia="en-US"/>
        </w:rPr>
        <w:t>Extracción por tipo de subproducto</w:t>
      </w:r>
      <w:bookmarkEnd w:id="37"/>
      <w:bookmarkEnd w:id="38"/>
      <w:bookmarkEnd w:id="39"/>
    </w:p>
    <w:p w:rsidR="007458D8" w:rsidRPr="007458D8" w:rsidRDefault="007458D8" w:rsidP="007458D8">
      <w:pPr>
        <w:spacing w:line="276" w:lineRule="auto"/>
        <w:jc w:val="both"/>
        <w:rPr>
          <w:rFonts w:ascii="Arial" w:eastAsia="Calibri" w:hAnsi="Arial" w:cstheme="majorBidi"/>
          <w:b/>
          <w:sz w:val="26"/>
          <w:szCs w:val="26"/>
          <w:lang w:val="es-CR" w:eastAsia="en-US"/>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A partir de la fruta de palma se pueden generar diferentes subproductos como: el aceite crudo, fibra (tusa), pinzote, coquito, harina de endocarpo y aceite de palmiste.</w:t>
      </w:r>
    </w:p>
    <w:p w:rsidR="007458D8" w:rsidRPr="007458D8" w:rsidRDefault="007458D8" w:rsidP="007458D8">
      <w:pPr>
        <w:rPr>
          <w:lang w:val="es-CR"/>
        </w:rPr>
      </w:pPr>
    </w:p>
    <w:p w:rsidR="007458D8" w:rsidRPr="007458D8" w:rsidRDefault="007458D8" w:rsidP="007458D8">
      <w:pPr>
        <w:rPr>
          <w:lang w:val="es-CR"/>
        </w:rPr>
      </w:pPr>
    </w:p>
    <w:p w:rsidR="007458D8" w:rsidRPr="007458D8" w:rsidRDefault="007458D8" w:rsidP="007458D8">
      <w:pPr>
        <w:jc w:val="center"/>
        <w:rPr>
          <w:rFonts w:ascii="Arial" w:eastAsia="Calibri" w:hAnsi="Arial" w:cs="Arial"/>
          <w:bCs/>
          <w:lang w:val="es-CR" w:eastAsia="en-US"/>
        </w:rPr>
      </w:pPr>
      <w:bookmarkStart w:id="40" w:name="_Toc34744543"/>
      <w:bookmarkStart w:id="41" w:name="_Toc63666250"/>
      <w:r w:rsidRPr="007458D8">
        <w:rPr>
          <w:rFonts w:ascii="Arial" w:eastAsia="Calibri" w:hAnsi="Arial" w:cs="Arial"/>
          <w:bCs/>
          <w:lang w:val="es-CR" w:eastAsia="en-US"/>
        </w:rPr>
        <w:t xml:space="preserve">Gráfico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Gráfico \* ARABIC </w:instrText>
      </w:r>
      <w:r w:rsidRPr="007458D8">
        <w:rPr>
          <w:rFonts w:ascii="Arial" w:eastAsia="Calibri" w:hAnsi="Arial" w:cs="Arial"/>
          <w:bCs/>
          <w:lang w:val="es-CR" w:eastAsia="en-US"/>
        </w:rPr>
        <w:fldChar w:fldCharType="separate"/>
      </w:r>
      <w:r w:rsidRPr="007458D8">
        <w:rPr>
          <w:rFonts w:ascii="Arial" w:eastAsia="Calibri" w:hAnsi="Arial" w:cs="Arial"/>
          <w:bCs/>
          <w:noProof/>
          <w:lang w:val="es-CR" w:eastAsia="en-US"/>
        </w:rPr>
        <w:t>5</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Porcentaje de extracción por tipo de subproducto</w:t>
      </w:r>
      <w:bookmarkEnd w:id="40"/>
      <w:bookmarkEnd w:id="41"/>
    </w:p>
    <w:p w:rsidR="007458D8" w:rsidRPr="007458D8" w:rsidRDefault="007458D8" w:rsidP="007458D8">
      <w:pPr>
        <w:spacing w:line="276" w:lineRule="auto"/>
        <w:jc w:val="center"/>
        <w:rPr>
          <w:rFonts w:ascii="Arial" w:hAnsi="Arial" w:cs="Arial"/>
          <w:lang w:val="es-CR"/>
        </w:rPr>
      </w:pPr>
      <w:r w:rsidRPr="007458D8">
        <w:rPr>
          <w:noProof/>
          <w:lang w:val="es-CR" w:eastAsia="es-CR"/>
        </w:rPr>
        <w:drawing>
          <wp:inline distT="0" distB="0" distL="0" distR="0" wp14:anchorId="70B734C6" wp14:editId="3F70893D">
            <wp:extent cx="4429496" cy="2885704"/>
            <wp:effectExtent l="0" t="0" r="9525" b="1016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58D8" w:rsidRPr="007458D8" w:rsidRDefault="007458D8" w:rsidP="007458D8">
      <w:pPr>
        <w:spacing w:line="276" w:lineRule="auto"/>
        <w:ind w:firstLine="708"/>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MEIC 2018</w:t>
      </w:r>
    </w:p>
    <w:p w:rsidR="007458D8" w:rsidRDefault="007458D8" w:rsidP="007458D8">
      <w:pPr>
        <w:keepNext/>
        <w:keepLines/>
        <w:spacing w:before="40"/>
        <w:outlineLvl w:val="1"/>
        <w:rPr>
          <w:rFonts w:eastAsia="Calibri"/>
          <w:lang w:val="es-CR" w:eastAsia="en-US"/>
        </w:rPr>
      </w:pPr>
    </w:p>
    <w:p w:rsidR="00D856E1" w:rsidRDefault="00D856E1" w:rsidP="00D856E1">
      <w:pPr>
        <w:spacing w:line="276" w:lineRule="auto"/>
        <w:jc w:val="both"/>
        <w:rPr>
          <w:rFonts w:ascii="Arial" w:hAnsi="Arial" w:cs="Arial"/>
          <w:lang w:val="es-CR"/>
        </w:rPr>
      </w:pPr>
    </w:p>
    <w:p w:rsidR="00D856E1" w:rsidRPr="00D856E1" w:rsidRDefault="00D856E1" w:rsidP="00D856E1">
      <w:pPr>
        <w:spacing w:line="276" w:lineRule="auto"/>
        <w:jc w:val="both"/>
        <w:rPr>
          <w:rFonts w:ascii="Arial" w:hAnsi="Arial" w:cs="Arial"/>
          <w:lang w:val="es-CR"/>
        </w:rPr>
      </w:pPr>
      <w:r w:rsidRPr="00D856E1">
        <w:rPr>
          <w:rFonts w:ascii="Arial" w:hAnsi="Arial" w:cs="Arial"/>
          <w:lang w:val="es-CR"/>
        </w:rPr>
        <w:t>El aceite crudo representa el 44% de los subproductos, siguiéndole en importancia la fibra y en iguales proporciones el pinzote y el coquito.</w:t>
      </w:r>
      <w:r>
        <w:rPr>
          <w:rFonts w:ascii="Arial" w:hAnsi="Arial" w:cs="Arial"/>
          <w:lang w:val="es-CR"/>
        </w:rPr>
        <w:t xml:space="preserve">  En un nivel más bajo se encuentran la harina de endocarpo y el aceite palmiste.</w:t>
      </w:r>
    </w:p>
    <w:p w:rsidR="007458D8" w:rsidRPr="007458D8" w:rsidRDefault="007458D8" w:rsidP="007458D8">
      <w:pPr>
        <w:keepNext/>
        <w:keepLines/>
        <w:spacing w:before="40"/>
        <w:outlineLvl w:val="1"/>
        <w:rPr>
          <w:rFonts w:ascii="Arial" w:eastAsia="Calibri" w:hAnsi="Arial" w:cstheme="majorBidi"/>
          <w:b/>
          <w:szCs w:val="26"/>
          <w:lang w:val="es-CR" w:eastAsia="en-US"/>
        </w:rPr>
      </w:pPr>
    </w:p>
    <w:p w:rsidR="007458D8" w:rsidRPr="007458D8" w:rsidRDefault="007458D8" w:rsidP="007458D8">
      <w:pPr>
        <w:rPr>
          <w:rFonts w:ascii="Arial" w:eastAsia="Calibri" w:hAnsi="Arial" w:cstheme="majorBidi"/>
          <w:b/>
          <w:szCs w:val="26"/>
          <w:lang w:val="es-CR" w:eastAsia="en-US"/>
        </w:rPr>
      </w:pPr>
      <w:r w:rsidRPr="007458D8">
        <w:rPr>
          <w:rFonts w:eastAsia="Calibri"/>
          <w:lang w:val="es-CR" w:eastAsia="en-US"/>
        </w:rPr>
        <w:br w:type="page"/>
      </w:r>
    </w:p>
    <w:p w:rsidR="007458D8" w:rsidRPr="007458D8" w:rsidRDefault="007458D8" w:rsidP="0088405B">
      <w:pPr>
        <w:pStyle w:val="Ttulo2"/>
        <w:rPr>
          <w:rFonts w:eastAsia="Calibri"/>
          <w:lang w:val="es-CR" w:eastAsia="en-US"/>
        </w:rPr>
      </w:pPr>
      <w:bookmarkStart w:id="42" w:name="_Toc34906766"/>
      <w:bookmarkStart w:id="43" w:name="_Toc35865816"/>
      <w:bookmarkStart w:id="44" w:name="_Toc63666210"/>
      <w:r w:rsidRPr="007458D8">
        <w:rPr>
          <w:rFonts w:eastAsia="Calibri"/>
          <w:lang w:val="es-CR" w:eastAsia="en-US"/>
        </w:rPr>
        <w:lastRenderedPageBreak/>
        <w:t>Rendimiento sobre la fruta a nivel de industria</w:t>
      </w:r>
      <w:bookmarkEnd w:id="42"/>
      <w:bookmarkEnd w:id="43"/>
      <w:bookmarkEnd w:id="44"/>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El rendimiento de aceite por área se obtiene dividiendo la producción de aceite crudo de palma de cada año entre el área de producción registrada ese mismo año.  Se puede observar que para los años 2010-2013 el rendimiento de aceite de palma se encuentra por encima de 4 TM/hectárea por año</w:t>
      </w:r>
      <w:r w:rsidR="00D856E1">
        <w:rPr>
          <w:rFonts w:ascii="Arial" w:hAnsi="Arial" w:cs="Arial"/>
          <w:lang w:val="es-CR"/>
        </w:rPr>
        <w:t>, luego baja para los años 2014 y 2015, se recupera en los años 2016 y 2017 y vuelve a caer en el 2018</w:t>
      </w:r>
      <w:r w:rsidRPr="007458D8">
        <w:rPr>
          <w:rFonts w:ascii="Arial" w:hAnsi="Arial" w:cs="Arial"/>
          <w:lang w:val="es-CR"/>
        </w:rPr>
        <w:t xml:space="preserve">. </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noProof/>
          <w:lang w:val="es-CR" w:eastAsia="es-CR"/>
        </w:rPr>
      </w:pPr>
    </w:p>
    <w:p w:rsidR="007458D8" w:rsidRPr="007458D8" w:rsidRDefault="007458D8" w:rsidP="007458D8">
      <w:pPr>
        <w:keepNext/>
        <w:jc w:val="center"/>
        <w:rPr>
          <w:rFonts w:ascii="Arial" w:hAnsi="Arial" w:cs="Arial"/>
          <w:bCs/>
          <w:szCs w:val="20"/>
          <w:lang w:val="es-CR"/>
        </w:rPr>
      </w:pPr>
      <w:bookmarkStart w:id="45" w:name="_Toc34744544"/>
      <w:bookmarkStart w:id="46" w:name="_Toc63666251"/>
      <w:r w:rsidRPr="007458D8">
        <w:rPr>
          <w:rFonts w:ascii="Arial" w:hAnsi="Arial" w:cs="Arial"/>
          <w:bCs/>
          <w:szCs w:val="20"/>
          <w:lang w:val="es-CR"/>
        </w:rPr>
        <w:t xml:space="preserve">Gráfico </w:t>
      </w:r>
      <w:r w:rsidRPr="007458D8">
        <w:rPr>
          <w:rFonts w:ascii="Arial" w:hAnsi="Arial" w:cs="Arial"/>
          <w:bCs/>
          <w:szCs w:val="20"/>
          <w:lang w:val="es-CR"/>
        </w:rPr>
        <w:fldChar w:fldCharType="begin"/>
      </w:r>
      <w:r w:rsidRPr="007458D8">
        <w:rPr>
          <w:rFonts w:ascii="Arial" w:hAnsi="Arial" w:cs="Arial"/>
          <w:bCs/>
          <w:szCs w:val="20"/>
          <w:lang w:val="es-CR"/>
        </w:rPr>
        <w:instrText xml:space="preserve"> SEQ Gráfico \* ARABIC </w:instrText>
      </w:r>
      <w:r w:rsidRPr="007458D8">
        <w:rPr>
          <w:rFonts w:ascii="Arial" w:hAnsi="Arial" w:cs="Arial"/>
          <w:bCs/>
          <w:szCs w:val="20"/>
          <w:lang w:val="es-CR"/>
        </w:rPr>
        <w:fldChar w:fldCharType="separate"/>
      </w:r>
      <w:r w:rsidRPr="007458D8">
        <w:rPr>
          <w:rFonts w:ascii="Arial" w:hAnsi="Arial" w:cs="Arial"/>
          <w:bCs/>
          <w:noProof/>
          <w:szCs w:val="20"/>
          <w:lang w:val="es-CR"/>
        </w:rPr>
        <w:t>6</w:t>
      </w:r>
      <w:r w:rsidRPr="007458D8">
        <w:rPr>
          <w:rFonts w:ascii="Arial" w:hAnsi="Arial" w:cs="Arial"/>
          <w:bCs/>
          <w:szCs w:val="20"/>
          <w:lang w:val="es-CR"/>
        </w:rPr>
        <w:fldChar w:fldCharType="end"/>
      </w:r>
      <w:r w:rsidRPr="007458D8">
        <w:rPr>
          <w:rFonts w:ascii="Arial" w:hAnsi="Arial" w:cs="Arial"/>
          <w:bCs/>
          <w:szCs w:val="20"/>
          <w:lang w:val="es-CR"/>
        </w:rPr>
        <w:t>. Rendimiento de aceite de palma aceitera según área en Costa Rica, período 2010-2018</w:t>
      </w:r>
      <w:bookmarkEnd w:id="45"/>
      <w:bookmarkEnd w:id="46"/>
    </w:p>
    <w:p w:rsidR="007458D8" w:rsidRPr="007458D8" w:rsidRDefault="007458D8" w:rsidP="007458D8">
      <w:pPr>
        <w:spacing w:line="276" w:lineRule="auto"/>
        <w:jc w:val="center"/>
        <w:rPr>
          <w:noProof/>
          <w:lang w:val="es-CR" w:eastAsia="es-CR"/>
        </w:rPr>
      </w:pPr>
      <w:r w:rsidRPr="007458D8">
        <w:rPr>
          <w:noProof/>
          <w:lang w:val="es-CR" w:eastAsia="es-CR"/>
        </w:rPr>
        <w:drawing>
          <wp:inline distT="0" distB="0" distL="0" distR="0" wp14:anchorId="5B4DC5FF" wp14:editId="51B1A380">
            <wp:extent cx="5320145" cy="3063833"/>
            <wp:effectExtent l="0" t="0" r="0" b="381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58D8" w:rsidRPr="007458D8" w:rsidRDefault="007458D8" w:rsidP="007458D8">
      <w:pPr>
        <w:spacing w:line="276" w:lineRule="auto"/>
        <w:ind w:firstLine="708"/>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MEIC 2018</w:t>
      </w:r>
    </w:p>
    <w:p w:rsidR="007458D8" w:rsidRPr="007458D8" w:rsidRDefault="007458D8" w:rsidP="007458D8">
      <w:pPr>
        <w:keepNext/>
        <w:tabs>
          <w:tab w:val="left" w:pos="2091"/>
        </w:tabs>
        <w:jc w:val="both"/>
        <w:outlineLvl w:val="0"/>
        <w:rPr>
          <w:rFonts w:ascii="Arial" w:eastAsia="Calibri" w:hAnsi="Arial"/>
          <w:b/>
          <w:bCs/>
          <w:sz w:val="28"/>
          <w:lang w:val="es-CR" w:eastAsia="en-US"/>
        </w:rPr>
      </w:pPr>
    </w:p>
    <w:p w:rsidR="007458D8" w:rsidRPr="007458D8" w:rsidRDefault="007458D8" w:rsidP="007458D8">
      <w:pPr>
        <w:keepNext/>
        <w:tabs>
          <w:tab w:val="left" w:pos="2091"/>
        </w:tabs>
        <w:jc w:val="both"/>
        <w:outlineLvl w:val="0"/>
        <w:rPr>
          <w:rFonts w:ascii="Arial" w:eastAsia="Calibri" w:hAnsi="Arial"/>
          <w:b/>
          <w:bCs/>
          <w:sz w:val="28"/>
          <w:lang w:val="es-CR" w:eastAsia="en-US"/>
        </w:rPr>
      </w:pPr>
    </w:p>
    <w:p w:rsidR="007458D8" w:rsidRPr="007458D8" w:rsidRDefault="007458D8" w:rsidP="007458D8">
      <w:pPr>
        <w:rPr>
          <w:rFonts w:ascii="Arial" w:eastAsia="Calibri" w:hAnsi="Arial"/>
          <w:b/>
          <w:bCs/>
          <w:sz w:val="28"/>
          <w:lang w:val="es-CR" w:eastAsia="en-US"/>
        </w:rPr>
      </w:pPr>
      <w:r w:rsidRPr="007458D8">
        <w:rPr>
          <w:rFonts w:eastAsia="Calibri"/>
          <w:lang w:val="es-CR" w:eastAsia="en-US"/>
        </w:rPr>
        <w:br w:type="page"/>
      </w:r>
    </w:p>
    <w:p w:rsidR="007458D8" w:rsidRPr="007458D8" w:rsidRDefault="007458D8" w:rsidP="0088405B">
      <w:pPr>
        <w:pStyle w:val="Ttulo2"/>
        <w:rPr>
          <w:rFonts w:eastAsia="Calibri"/>
          <w:lang w:val="es-CR" w:eastAsia="en-US"/>
        </w:rPr>
      </w:pPr>
      <w:bookmarkStart w:id="47" w:name="_Toc34906767"/>
      <w:bookmarkStart w:id="48" w:name="_Toc35865817"/>
      <w:bookmarkStart w:id="49" w:name="_Toc63666211"/>
      <w:r w:rsidRPr="007458D8">
        <w:rPr>
          <w:rFonts w:eastAsia="Calibri"/>
          <w:lang w:val="es-CR" w:eastAsia="en-US"/>
        </w:rPr>
        <w:lastRenderedPageBreak/>
        <w:t>Comportamiento de precios</w:t>
      </w:r>
      <w:bookmarkEnd w:id="47"/>
      <w:bookmarkEnd w:id="48"/>
      <w:bookmarkEnd w:id="49"/>
    </w:p>
    <w:p w:rsidR="007458D8" w:rsidRPr="00246F47" w:rsidRDefault="007458D8" w:rsidP="007458D8">
      <w:pPr>
        <w:spacing w:line="276" w:lineRule="auto"/>
        <w:jc w:val="both"/>
        <w:rPr>
          <w:rFonts w:ascii="Arial" w:hAnsi="Arial" w:cs="Arial"/>
          <w:lang w:val="es-CR"/>
        </w:rPr>
      </w:pPr>
    </w:p>
    <w:p w:rsidR="007458D8" w:rsidRPr="0043370A" w:rsidRDefault="007458D8" w:rsidP="0088405B">
      <w:pPr>
        <w:spacing w:line="276" w:lineRule="auto"/>
        <w:jc w:val="both"/>
        <w:rPr>
          <w:rFonts w:ascii="Arial" w:hAnsi="Arial" w:cs="Arial"/>
          <w:lang w:val="es-CR"/>
        </w:rPr>
      </w:pPr>
      <w:r w:rsidRPr="0043370A">
        <w:rPr>
          <w:rFonts w:ascii="Arial" w:hAnsi="Arial" w:cs="Arial"/>
          <w:lang w:val="es-CR"/>
        </w:rPr>
        <w:t xml:space="preserve">En el siguiente gráfico se muestra el precio internacional del aceite crudo de palma (ACP) y aceite palmiste durante el período 2010-2018. </w:t>
      </w:r>
    </w:p>
    <w:p w:rsidR="007458D8" w:rsidRPr="007458D8" w:rsidRDefault="007458D8" w:rsidP="007458D8">
      <w:pPr>
        <w:spacing w:line="276" w:lineRule="auto"/>
        <w:jc w:val="both"/>
        <w:rPr>
          <w:rFonts w:ascii="Arial" w:hAnsi="Arial" w:cs="Arial"/>
          <w:lang w:val="es-CR"/>
        </w:rPr>
      </w:pPr>
    </w:p>
    <w:p w:rsidR="007458D8" w:rsidRPr="0088405B" w:rsidRDefault="007458D8" w:rsidP="0088405B">
      <w:pPr>
        <w:jc w:val="both"/>
        <w:rPr>
          <w:rFonts w:ascii="Arial" w:hAnsi="Arial" w:cs="Arial"/>
          <w:lang w:val="es-CR"/>
        </w:rPr>
      </w:pPr>
      <w:bookmarkStart w:id="50" w:name="_Toc34744545"/>
      <w:bookmarkStart w:id="51" w:name="_Toc63666252"/>
      <w:r w:rsidRPr="0088405B">
        <w:rPr>
          <w:rFonts w:ascii="Arial" w:hAnsi="Arial" w:cs="Arial"/>
          <w:lang w:val="es-CR"/>
        </w:rPr>
        <w:t xml:space="preserve">Gráfico </w:t>
      </w:r>
      <w:r w:rsidRPr="0088405B">
        <w:rPr>
          <w:rFonts w:ascii="Arial" w:hAnsi="Arial" w:cs="Arial"/>
          <w:lang w:val="es-CR"/>
        </w:rPr>
        <w:fldChar w:fldCharType="begin"/>
      </w:r>
      <w:r w:rsidRPr="0088405B">
        <w:rPr>
          <w:rFonts w:ascii="Arial" w:hAnsi="Arial" w:cs="Arial"/>
          <w:lang w:val="es-CR"/>
        </w:rPr>
        <w:instrText xml:space="preserve"> SEQ Gráfico \* ARABIC </w:instrText>
      </w:r>
      <w:r w:rsidRPr="0088405B">
        <w:rPr>
          <w:rFonts w:ascii="Arial" w:hAnsi="Arial" w:cs="Arial"/>
          <w:lang w:val="es-CR"/>
        </w:rPr>
        <w:fldChar w:fldCharType="separate"/>
      </w:r>
      <w:r w:rsidRPr="0088405B">
        <w:rPr>
          <w:rFonts w:ascii="Arial" w:hAnsi="Arial" w:cs="Arial"/>
          <w:noProof/>
          <w:lang w:val="es-CR"/>
        </w:rPr>
        <w:t>7</w:t>
      </w:r>
      <w:r w:rsidRPr="0088405B">
        <w:rPr>
          <w:rFonts w:ascii="Arial" w:hAnsi="Arial" w:cs="Arial"/>
          <w:lang w:val="es-CR"/>
        </w:rPr>
        <w:fldChar w:fldCharType="end"/>
      </w:r>
      <w:r w:rsidRPr="0088405B">
        <w:rPr>
          <w:rFonts w:ascii="Arial" w:hAnsi="Arial" w:cs="Arial"/>
          <w:lang w:val="es-CR"/>
        </w:rPr>
        <w:t>. Precio internacional de aceite palmiste y aceite crudo y sus tendencias por tonelada métrica en dólares, durante el período 2010-2018</w:t>
      </w:r>
      <w:bookmarkEnd w:id="50"/>
      <w:bookmarkEnd w:id="51"/>
    </w:p>
    <w:p w:rsidR="007458D8" w:rsidRPr="007458D8" w:rsidRDefault="007458D8" w:rsidP="007458D8">
      <w:pPr>
        <w:rPr>
          <w:lang w:val="es-CR"/>
        </w:rPr>
      </w:pPr>
    </w:p>
    <w:p w:rsidR="007458D8" w:rsidRPr="007458D8" w:rsidRDefault="007458D8" w:rsidP="007458D8">
      <w:pPr>
        <w:spacing w:line="276" w:lineRule="auto"/>
        <w:jc w:val="center"/>
        <w:rPr>
          <w:noProof/>
          <w:lang w:val="es-CR" w:eastAsia="es-CR"/>
        </w:rPr>
      </w:pPr>
      <w:r w:rsidRPr="007458D8">
        <w:rPr>
          <w:noProof/>
          <w:lang w:val="es-CR" w:eastAsia="es-CR"/>
        </w:rPr>
        <w:drawing>
          <wp:inline distT="0" distB="0" distL="0" distR="0" wp14:anchorId="26DA3381" wp14:editId="1BF692B7">
            <wp:extent cx="5462649" cy="3099460"/>
            <wp:effectExtent l="0" t="0" r="5080" b="57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58D8" w:rsidRPr="007458D8" w:rsidRDefault="007458D8" w:rsidP="007458D8">
      <w:pPr>
        <w:spacing w:line="276" w:lineRule="auto"/>
        <w:jc w:val="center"/>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MEIC 2018</w:t>
      </w:r>
    </w:p>
    <w:p w:rsidR="007458D8" w:rsidRPr="007458D8" w:rsidRDefault="007458D8" w:rsidP="007458D8">
      <w:pPr>
        <w:keepNext/>
        <w:keepLines/>
        <w:spacing w:before="40"/>
        <w:outlineLvl w:val="1"/>
        <w:rPr>
          <w:rFonts w:ascii="Arial" w:eastAsia="Calibri" w:hAnsi="Arial" w:cstheme="majorBidi"/>
          <w:b/>
          <w:szCs w:val="26"/>
          <w:lang w:val="es-CR" w:eastAsia="en-US"/>
        </w:rPr>
      </w:pPr>
    </w:p>
    <w:p w:rsidR="007458D8" w:rsidRPr="007458D8" w:rsidRDefault="007458D8" w:rsidP="007458D8">
      <w:pPr>
        <w:keepNext/>
        <w:keepLines/>
        <w:spacing w:before="40"/>
        <w:outlineLvl w:val="1"/>
        <w:rPr>
          <w:rFonts w:ascii="Arial" w:eastAsia="Calibri" w:hAnsi="Arial" w:cstheme="majorBidi"/>
          <w:b/>
          <w:szCs w:val="26"/>
          <w:lang w:val="es-CR" w:eastAsia="en-US"/>
        </w:rPr>
      </w:pPr>
    </w:p>
    <w:p w:rsidR="007458D8" w:rsidRPr="0088405B" w:rsidRDefault="007458D8" w:rsidP="0088405B">
      <w:pPr>
        <w:spacing w:line="276" w:lineRule="auto"/>
        <w:jc w:val="both"/>
        <w:rPr>
          <w:rFonts w:ascii="Arial" w:hAnsi="Arial" w:cs="Arial"/>
          <w:lang w:val="es-CR"/>
        </w:rPr>
      </w:pPr>
      <w:r w:rsidRPr="0088405B">
        <w:rPr>
          <w:rFonts w:ascii="Arial" w:hAnsi="Arial" w:cs="Arial"/>
          <w:lang w:val="es-CR"/>
        </w:rPr>
        <w:t>En el siguiente gráfico se muestra el precio nacional de aceite crudo por tonelada métrica (TM) en el año 2010 el precio fue de $875 aumentando a $1.146 en el 2011, posterior a ese año el precio disminuye hasta el año 2016 ubicándose en $725. Para el año 2017 aumenta a $765 sin embargo en el 2018 disminuye de nuevo a $726, es importante indicar que este precio es el segundo más bajo de todo el período en estudio.</w:t>
      </w:r>
    </w:p>
    <w:p w:rsidR="007458D8" w:rsidRPr="007458D8" w:rsidRDefault="007458D8" w:rsidP="007458D8">
      <w:pPr>
        <w:spacing w:line="276" w:lineRule="auto"/>
        <w:jc w:val="both"/>
        <w:rPr>
          <w:rFonts w:ascii="Arial" w:eastAsia="Calibri" w:hAnsi="Arial" w:cstheme="majorBidi"/>
          <w:b/>
          <w:sz w:val="26"/>
          <w:szCs w:val="26"/>
          <w:lang w:val="es-CR" w:eastAsia="en-US"/>
        </w:rPr>
      </w:pPr>
    </w:p>
    <w:p w:rsidR="007458D8" w:rsidRPr="007458D8" w:rsidRDefault="007458D8" w:rsidP="007458D8">
      <w:pPr>
        <w:rPr>
          <w:rFonts w:ascii="Arial" w:hAnsi="Arial" w:cs="Arial"/>
          <w:bCs/>
          <w:szCs w:val="20"/>
          <w:lang w:val="es-CR"/>
        </w:rPr>
      </w:pPr>
      <w:r w:rsidRPr="007458D8">
        <w:rPr>
          <w:rFonts w:ascii="Arial" w:hAnsi="Arial" w:cs="Arial"/>
          <w:b/>
          <w:lang w:val="es-CR"/>
        </w:rPr>
        <w:br w:type="page"/>
      </w:r>
    </w:p>
    <w:p w:rsidR="007458D8" w:rsidRPr="007458D8" w:rsidRDefault="007458D8" w:rsidP="007458D8">
      <w:pPr>
        <w:keepNext/>
        <w:jc w:val="center"/>
        <w:rPr>
          <w:rFonts w:ascii="Arial" w:hAnsi="Arial" w:cs="Arial"/>
          <w:bCs/>
          <w:szCs w:val="20"/>
          <w:lang w:val="es-CR"/>
        </w:rPr>
      </w:pPr>
      <w:bookmarkStart w:id="52" w:name="_Toc34744546"/>
      <w:bookmarkStart w:id="53" w:name="_Toc63666253"/>
      <w:r w:rsidRPr="007458D8">
        <w:rPr>
          <w:rFonts w:ascii="Arial" w:hAnsi="Arial" w:cs="Arial"/>
          <w:bCs/>
          <w:szCs w:val="20"/>
          <w:lang w:val="es-CR"/>
        </w:rPr>
        <w:lastRenderedPageBreak/>
        <w:t xml:space="preserve">Gráfico </w:t>
      </w:r>
      <w:r w:rsidRPr="007458D8">
        <w:rPr>
          <w:rFonts w:ascii="Arial" w:hAnsi="Arial" w:cs="Arial"/>
          <w:bCs/>
          <w:szCs w:val="20"/>
          <w:lang w:val="es-CR"/>
        </w:rPr>
        <w:fldChar w:fldCharType="begin"/>
      </w:r>
      <w:r w:rsidRPr="007458D8">
        <w:rPr>
          <w:rFonts w:ascii="Arial" w:hAnsi="Arial" w:cs="Arial"/>
          <w:bCs/>
          <w:szCs w:val="20"/>
          <w:lang w:val="es-CR"/>
        </w:rPr>
        <w:instrText xml:space="preserve"> SEQ Gráfico \* ARABIC </w:instrText>
      </w:r>
      <w:r w:rsidRPr="007458D8">
        <w:rPr>
          <w:rFonts w:ascii="Arial" w:hAnsi="Arial" w:cs="Arial"/>
          <w:bCs/>
          <w:szCs w:val="20"/>
          <w:lang w:val="es-CR"/>
        </w:rPr>
        <w:fldChar w:fldCharType="separate"/>
      </w:r>
      <w:r w:rsidRPr="007458D8">
        <w:rPr>
          <w:rFonts w:ascii="Arial" w:hAnsi="Arial" w:cs="Arial"/>
          <w:bCs/>
          <w:noProof/>
          <w:szCs w:val="20"/>
          <w:lang w:val="es-CR"/>
        </w:rPr>
        <w:t>8</w:t>
      </w:r>
      <w:r w:rsidRPr="007458D8">
        <w:rPr>
          <w:rFonts w:ascii="Arial" w:hAnsi="Arial" w:cs="Arial"/>
          <w:bCs/>
          <w:szCs w:val="20"/>
          <w:lang w:val="es-CR"/>
        </w:rPr>
        <w:fldChar w:fldCharType="end"/>
      </w:r>
      <w:r w:rsidRPr="007458D8">
        <w:rPr>
          <w:rFonts w:ascii="Arial" w:hAnsi="Arial" w:cs="Arial"/>
          <w:bCs/>
          <w:szCs w:val="20"/>
          <w:lang w:val="es-CR"/>
        </w:rPr>
        <w:t>. Precio nacional promedio de aceite crudo y su tendencia por tonelada métrica en dólares, durante el período 2010-2018</w:t>
      </w:r>
      <w:bookmarkEnd w:id="52"/>
      <w:bookmarkEnd w:id="53"/>
    </w:p>
    <w:p w:rsidR="007458D8" w:rsidRPr="007458D8" w:rsidRDefault="007458D8" w:rsidP="007458D8">
      <w:pPr>
        <w:rPr>
          <w:lang w:val="es-CR"/>
        </w:rPr>
      </w:pPr>
    </w:p>
    <w:p w:rsidR="007458D8" w:rsidRPr="007458D8" w:rsidRDefault="007458D8" w:rsidP="007458D8">
      <w:pPr>
        <w:spacing w:line="276" w:lineRule="auto"/>
        <w:jc w:val="center"/>
        <w:rPr>
          <w:rFonts w:ascii="Arial" w:eastAsia="Calibri" w:hAnsi="Arial" w:cstheme="majorBidi"/>
          <w:b/>
          <w:sz w:val="26"/>
          <w:szCs w:val="26"/>
          <w:lang w:val="es-CR" w:eastAsia="en-US"/>
        </w:rPr>
      </w:pPr>
      <w:r w:rsidRPr="007458D8">
        <w:rPr>
          <w:noProof/>
          <w:lang w:val="es-CR" w:eastAsia="es-CR"/>
        </w:rPr>
        <w:drawing>
          <wp:inline distT="0" distB="0" distL="0" distR="0" wp14:anchorId="5D672875" wp14:editId="5987F043">
            <wp:extent cx="4838700" cy="291465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58D8" w:rsidRPr="007458D8" w:rsidRDefault="007458D8" w:rsidP="007458D8">
      <w:pPr>
        <w:spacing w:line="276" w:lineRule="auto"/>
        <w:ind w:firstLine="708"/>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MEIC 2018</w:t>
      </w:r>
    </w:p>
    <w:p w:rsidR="007458D8" w:rsidRPr="007458D8" w:rsidRDefault="007458D8" w:rsidP="007458D8">
      <w:pPr>
        <w:spacing w:line="276" w:lineRule="auto"/>
        <w:jc w:val="both"/>
        <w:rPr>
          <w:rFonts w:ascii="Arial" w:eastAsia="Calibri" w:hAnsi="Arial" w:cstheme="majorBidi"/>
          <w:b/>
          <w:sz w:val="26"/>
          <w:szCs w:val="26"/>
          <w:lang w:val="es-CR" w:eastAsia="en-US"/>
        </w:rPr>
      </w:pPr>
    </w:p>
    <w:p w:rsidR="007458D8" w:rsidRPr="007458D8" w:rsidRDefault="007458D8" w:rsidP="007458D8">
      <w:pPr>
        <w:spacing w:line="276" w:lineRule="auto"/>
        <w:jc w:val="both"/>
        <w:rPr>
          <w:rFonts w:ascii="Arial" w:eastAsia="Calibri" w:hAnsi="Arial" w:cstheme="majorBidi"/>
          <w:b/>
          <w:sz w:val="26"/>
          <w:szCs w:val="26"/>
          <w:lang w:val="es-CR" w:eastAsia="en-US"/>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A continuación, se muestra el comportamiento del precio de compra de fruta promedio por mes para un período de 8 años, a partir de la información proporcionada por las industrias, y se incluye, el precio CIF Rotterdam del ACP para el mismo período.  </w:t>
      </w:r>
    </w:p>
    <w:p w:rsidR="007458D8" w:rsidRPr="007458D8" w:rsidRDefault="007458D8" w:rsidP="007458D8">
      <w:pPr>
        <w:rPr>
          <w:lang w:val="es-CR"/>
        </w:rPr>
      </w:pPr>
    </w:p>
    <w:p w:rsidR="007458D8" w:rsidRPr="007458D8" w:rsidRDefault="007458D8" w:rsidP="007458D8">
      <w:pPr>
        <w:keepNext/>
        <w:jc w:val="center"/>
        <w:rPr>
          <w:rFonts w:ascii="Arial" w:hAnsi="Arial" w:cs="Arial"/>
          <w:bCs/>
          <w:szCs w:val="20"/>
          <w:lang w:val="es-CR"/>
        </w:rPr>
      </w:pPr>
      <w:bookmarkStart w:id="54" w:name="_Toc63666254"/>
      <w:r w:rsidRPr="007458D8">
        <w:rPr>
          <w:rFonts w:ascii="Arial" w:hAnsi="Arial" w:cs="Arial"/>
          <w:bCs/>
          <w:szCs w:val="20"/>
          <w:lang w:val="es-CR"/>
        </w:rPr>
        <w:lastRenderedPageBreak/>
        <w:t xml:space="preserve">Gráfico </w:t>
      </w:r>
      <w:r w:rsidRPr="007458D8">
        <w:rPr>
          <w:rFonts w:ascii="Arial" w:hAnsi="Arial" w:cs="Arial"/>
          <w:bCs/>
          <w:szCs w:val="20"/>
          <w:lang w:val="es-CR"/>
        </w:rPr>
        <w:fldChar w:fldCharType="begin"/>
      </w:r>
      <w:r w:rsidRPr="007458D8">
        <w:rPr>
          <w:rFonts w:ascii="Arial" w:hAnsi="Arial" w:cs="Arial"/>
          <w:bCs/>
          <w:szCs w:val="20"/>
          <w:lang w:val="es-CR"/>
        </w:rPr>
        <w:instrText xml:space="preserve"> SEQ Gráfico \* ARABIC </w:instrText>
      </w:r>
      <w:r w:rsidRPr="007458D8">
        <w:rPr>
          <w:rFonts w:ascii="Arial" w:hAnsi="Arial" w:cs="Arial"/>
          <w:bCs/>
          <w:szCs w:val="20"/>
          <w:lang w:val="es-CR"/>
        </w:rPr>
        <w:fldChar w:fldCharType="separate"/>
      </w:r>
      <w:r w:rsidRPr="007458D8">
        <w:rPr>
          <w:rFonts w:ascii="Arial" w:hAnsi="Arial" w:cs="Arial"/>
          <w:bCs/>
          <w:noProof/>
          <w:szCs w:val="20"/>
          <w:lang w:val="es-CR"/>
        </w:rPr>
        <w:t>9</w:t>
      </w:r>
      <w:r w:rsidRPr="007458D8">
        <w:rPr>
          <w:rFonts w:ascii="Arial" w:hAnsi="Arial" w:cs="Arial"/>
          <w:bCs/>
          <w:szCs w:val="20"/>
          <w:lang w:val="es-CR"/>
        </w:rPr>
        <w:fldChar w:fldCharType="end"/>
      </w:r>
      <w:r w:rsidRPr="007458D8">
        <w:rPr>
          <w:rFonts w:ascii="Arial" w:hAnsi="Arial" w:cs="Arial"/>
          <w:bCs/>
          <w:szCs w:val="20"/>
          <w:lang w:val="es-CR"/>
        </w:rPr>
        <w:t>. Comportamiento del precio nacional de fruta de palma en Costa Rica y el precio CIF Rotterdam, medias móviles con 3 observaciones. Periodo: 2010-2018</w:t>
      </w:r>
      <w:bookmarkEnd w:id="54"/>
    </w:p>
    <w:p w:rsidR="007458D8" w:rsidRPr="007458D8" w:rsidRDefault="007458D8" w:rsidP="007458D8">
      <w:pPr>
        <w:jc w:val="center"/>
        <w:rPr>
          <w:lang w:val="es-CR"/>
        </w:rPr>
      </w:pPr>
      <w:r w:rsidRPr="007458D8">
        <w:rPr>
          <w:noProof/>
          <w:lang w:val="es-CR" w:eastAsia="es-CR"/>
        </w:rPr>
        <w:drawing>
          <wp:inline distT="0" distB="0" distL="0" distR="0" wp14:anchorId="4F19196C" wp14:editId="7A2F8B05">
            <wp:extent cx="5219700" cy="256222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58D8" w:rsidRPr="007458D8" w:rsidRDefault="007458D8" w:rsidP="007458D8">
      <w:pPr>
        <w:spacing w:line="276" w:lineRule="auto"/>
        <w:ind w:firstLine="708"/>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y Canapalma. MEIC 2018</w:t>
      </w:r>
    </w:p>
    <w:p w:rsidR="0043370A" w:rsidRDefault="0043370A" w:rsidP="007458D8">
      <w:pPr>
        <w:rPr>
          <w:rFonts w:ascii="Arial" w:hAnsi="Arial" w:cs="Arial"/>
          <w:lang w:val="es-CR"/>
        </w:rPr>
      </w:pPr>
    </w:p>
    <w:p w:rsidR="007458D8" w:rsidRPr="007458D8" w:rsidRDefault="007458D8" w:rsidP="007458D8">
      <w:pPr>
        <w:rPr>
          <w:rFonts w:ascii="Arial" w:hAnsi="Arial" w:cs="Arial"/>
          <w:lang w:val="es-CR"/>
        </w:rPr>
      </w:pPr>
      <w:r w:rsidRPr="007458D8">
        <w:rPr>
          <w:rFonts w:ascii="Arial" w:hAnsi="Arial" w:cs="Arial"/>
          <w:lang w:val="es-CR"/>
        </w:rPr>
        <w:t xml:space="preserve">En cuanto al comportamiento de ambas variables, se muestra a continuación el resumen estadístico. </w:t>
      </w:r>
    </w:p>
    <w:p w:rsidR="007458D8" w:rsidRPr="007458D8" w:rsidRDefault="007458D8" w:rsidP="007458D8">
      <w:pPr>
        <w:rPr>
          <w:rFonts w:ascii="Arial" w:hAnsi="Arial" w:cs="Arial"/>
          <w:lang w:val="es-CR"/>
        </w:rPr>
      </w:pPr>
    </w:p>
    <w:p w:rsidR="007458D8" w:rsidRPr="007458D8" w:rsidRDefault="007458D8" w:rsidP="007458D8">
      <w:pPr>
        <w:keepNext/>
        <w:jc w:val="center"/>
        <w:rPr>
          <w:rFonts w:ascii="Arial" w:hAnsi="Arial" w:cs="Arial"/>
          <w:bCs/>
          <w:szCs w:val="20"/>
          <w:lang w:val="es-CR"/>
        </w:rPr>
      </w:pPr>
      <w:r w:rsidRPr="007458D8">
        <w:rPr>
          <w:rFonts w:ascii="Arial" w:hAnsi="Arial" w:cs="Arial"/>
          <w:bCs/>
          <w:noProof/>
          <w:szCs w:val="20"/>
          <w:lang w:val="es-CR" w:eastAsia="es-CR"/>
        </w:rPr>
        <mc:AlternateContent>
          <mc:Choice Requires="wps">
            <w:drawing>
              <wp:anchor distT="0" distB="0" distL="114300" distR="114300" simplePos="0" relativeHeight="251663360" behindDoc="0" locked="0" layoutInCell="1" allowOverlap="1" wp14:anchorId="0FFE4F57" wp14:editId="2A367EB2">
                <wp:simplePos x="0" y="0"/>
                <wp:positionH relativeFrom="column">
                  <wp:posOffset>205740</wp:posOffset>
                </wp:positionH>
                <wp:positionV relativeFrom="paragraph">
                  <wp:posOffset>13335</wp:posOffset>
                </wp:positionV>
                <wp:extent cx="4552950" cy="381000"/>
                <wp:effectExtent l="0" t="0" r="0" b="0"/>
                <wp:wrapThrough wrapText="bothSides">
                  <wp:wrapPolygon edited="0">
                    <wp:start x="0" y="0"/>
                    <wp:lineTo x="0" y="20520"/>
                    <wp:lineTo x="21510" y="20520"/>
                    <wp:lineTo x="21510" y="0"/>
                    <wp:lineTo x="0" y="0"/>
                  </wp:wrapPolygon>
                </wp:wrapThrough>
                <wp:docPr id="17" name="10 Cuadro de texto"/>
                <wp:cNvGraphicFramePr/>
                <a:graphic xmlns:a="http://schemas.openxmlformats.org/drawingml/2006/main">
                  <a:graphicData uri="http://schemas.microsoft.com/office/word/2010/wordprocessingShape">
                    <wps:wsp>
                      <wps:cNvSpPr txBox="1"/>
                      <wps:spPr>
                        <a:xfrm>
                          <a:off x="0" y="0"/>
                          <a:ext cx="4552950" cy="381000"/>
                        </a:xfrm>
                        <a:prstGeom prst="rect">
                          <a:avLst/>
                        </a:prstGeom>
                        <a:solidFill>
                          <a:prstClr val="white"/>
                        </a:solidFill>
                        <a:ln>
                          <a:noFill/>
                        </a:ln>
                        <a:effectLst/>
                      </wps:spPr>
                      <wps:txbx>
                        <w:txbxContent>
                          <w:p w:rsidR="009F5196" w:rsidRPr="00FA04DA" w:rsidRDefault="009F5196" w:rsidP="007458D8">
                            <w:pPr>
                              <w:pStyle w:val="Descripcin"/>
                              <w:jc w:val="center"/>
                              <w:rPr>
                                <w:rFonts w:ascii="Arial" w:hAnsi="Arial" w:cs="Arial"/>
                                <w:b w:val="0"/>
                                <w:sz w:val="32"/>
                                <w:szCs w:val="24"/>
                              </w:rPr>
                            </w:pPr>
                            <w:bookmarkStart w:id="55" w:name="_Toc63666234"/>
                            <w:r w:rsidRPr="00FA04DA">
                              <w:rPr>
                                <w:rFonts w:ascii="Arial" w:hAnsi="Arial" w:cs="Arial"/>
                                <w:b w:val="0"/>
                                <w:sz w:val="24"/>
                              </w:rPr>
                              <w:t xml:space="preserve">Cuadro </w:t>
                            </w:r>
                            <w:r w:rsidRPr="00FA04DA">
                              <w:rPr>
                                <w:rFonts w:ascii="Arial" w:hAnsi="Arial" w:cs="Arial"/>
                                <w:b w:val="0"/>
                                <w:sz w:val="24"/>
                              </w:rPr>
                              <w:fldChar w:fldCharType="begin"/>
                            </w:r>
                            <w:r w:rsidRPr="00FA04DA">
                              <w:rPr>
                                <w:rFonts w:ascii="Arial" w:hAnsi="Arial" w:cs="Arial"/>
                                <w:b w:val="0"/>
                                <w:sz w:val="24"/>
                              </w:rPr>
                              <w:instrText xml:space="preserve"> SEQ Cuadro \* ARABIC </w:instrText>
                            </w:r>
                            <w:r w:rsidRPr="00FA04DA">
                              <w:rPr>
                                <w:rFonts w:ascii="Arial" w:hAnsi="Arial" w:cs="Arial"/>
                                <w:b w:val="0"/>
                                <w:sz w:val="24"/>
                              </w:rPr>
                              <w:fldChar w:fldCharType="separate"/>
                            </w:r>
                            <w:r>
                              <w:rPr>
                                <w:rFonts w:ascii="Arial" w:hAnsi="Arial" w:cs="Arial"/>
                                <w:b w:val="0"/>
                                <w:noProof/>
                                <w:sz w:val="24"/>
                              </w:rPr>
                              <w:t>1</w:t>
                            </w:r>
                            <w:r w:rsidRPr="00FA04DA">
                              <w:rPr>
                                <w:rFonts w:ascii="Arial" w:hAnsi="Arial" w:cs="Arial"/>
                                <w:b w:val="0"/>
                                <w:sz w:val="24"/>
                              </w:rPr>
                              <w:fldChar w:fldCharType="end"/>
                            </w:r>
                            <w:r w:rsidRPr="00FA04DA">
                              <w:rPr>
                                <w:rFonts w:ascii="Arial" w:hAnsi="Arial" w:cs="Arial"/>
                                <w:b w:val="0"/>
                                <w:sz w:val="24"/>
                              </w:rPr>
                              <w:t>. Resumen estadístico: precio al productor y precio CIF Rotterdam</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E4F57" id="_x0000_t202" coordsize="21600,21600" o:spt="202" path="m,l,21600r21600,l21600,xe">
                <v:stroke joinstyle="miter"/>
                <v:path gradientshapeok="t" o:connecttype="rect"/>
              </v:shapetype>
              <v:shape id="10 Cuadro de texto" o:spid="_x0000_s1026" type="#_x0000_t202" style="position:absolute;left:0;text-align:left;margin-left:16.2pt;margin-top:1.05pt;width:358.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" stroked="f">
                <v:textbox inset="0,0,0,0">
                  <w:txbxContent>
                    <w:p w:rsidR="009F5196" w:rsidRPr="00FA04DA" w:rsidRDefault="009F5196" w:rsidP="007458D8">
                      <w:pPr>
                        <w:pStyle w:val="Descripcin"/>
                        <w:jc w:val="center"/>
                        <w:rPr>
                          <w:rFonts w:ascii="Arial" w:hAnsi="Arial" w:cs="Arial"/>
                          <w:b w:val="0"/>
                          <w:sz w:val="32"/>
                          <w:szCs w:val="24"/>
                        </w:rPr>
                      </w:pPr>
                      <w:bookmarkStart w:id="56" w:name="_Toc63666234"/>
                      <w:r w:rsidRPr="00FA04DA">
                        <w:rPr>
                          <w:rFonts w:ascii="Arial" w:hAnsi="Arial" w:cs="Arial"/>
                          <w:b w:val="0"/>
                          <w:sz w:val="24"/>
                        </w:rPr>
                        <w:t xml:space="preserve">Cuadro </w:t>
                      </w:r>
                      <w:r w:rsidRPr="00FA04DA">
                        <w:rPr>
                          <w:rFonts w:ascii="Arial" w:hAnsi="Arial" w:cs="Arial"/>
                          <w:b w:val="0"/>
                          <w:sz w:val="24"/>
                        </w:rPr>
                        <w:fldChar w:fldCharType="begin"/>
                      </w:r>
                      <w:r w:rsidRPr="00FA04DA">
                        <w:rPr>
                          <w:rFonts w:ascii="Arial" w:hAnsi="Arial" w:cs="Arial"/>
                          <w:b w:val="0"/>
                          <w:sz w:val="24"/>
                        </w:rPr>
                        <w:instrText xml:space="preserve"> SEQ Cuadro \* ARABIC </w:instrText>
                      </w:r>
                      <w:r w:rsidRPr="00FA04DA">
                        <w:rPr>
                          <w:rFonts w:ascii="Arial" w:hAnsi="Arial" w:cs="Arial"/>
                          <w:b w:val="0"/>
                          <w:sz w:val="24"/>
                        </w:rPr>
                        <w:fldChar w:fldCharType="separate"/>
                      </w:r>
                      <w:r>
                        <w:rPr>
                          <w:rFonts w:ascii="Arial" w:hAnsi="Arial" w:cs="Arial"/>
                          <w:b w:val="0"/>
                          <w:noProof/>
                          <w:sz w:val="24"/>
                        </w:rPr>
                        <w:t>1</w:t>
                      </w:r>
                      <w:r w:rsidRPr="00FA04DA">
                        <w:rPr>
                          <w:rFonts w:ascii="Arial" w:hAnsi="Arial" w:cs="Arial"/>
                          <w:b w:val="0"/>
                          <w:sz w:val="24"/>
                        </w:rPr>
                        <w:fldChar w:fldCharType="end"/>
                      </w:r>
                      <w:r w:rsidRPr="00FA04DA">
                        <w:rPr>
                          <w:rFonts w:ascii="Arial" w:hAnsi="Arial" w:cs="Arial"/>
                          <w:b w:val="0"/>
                          <w:sz w:val="24"/>
                        </w:rPr>
                        <w:t>. Resumen estadístico: precio al productor y precio CIF Rotterdam</w:t>
                      </w:r>
                      <w:bookmarkEnd w:id="56"/>
                    </w:p>
                  </w:txbxContent>
                </v:textbox>
                <w10:wrap type="through"/>
              </v:shape>
            </w:pict>
          </mc:Fallback>
        </mc:AlternateContent>
      </w:r>
    </w:p>
    <w:p w:rsidR="007458D8" w:rsidRPr="007458D8" w:rsidRDefault="007458D8" w:rsidP="007458D8">
      <w:pPr>
        <w:rPr>
          <w:rFonts w:ascii="Arial" w:hAnsi="Arial" w:cs="Arial"/>
          <w:lang w:val="es-CR"/>
        </w:rPr>
      </w:pPr>
    </w:p>
    <w:p w:rsidR="007458D8" w:rsidRPr="007458D8" w:rsidRDefault="007458D8" w:rsidP="007458D8">
      <w:pPr>
        <w:rPr>
          <w:rFonts w:ascii="Arial" w:hAnsi="Arial" w:cs="Arial"/>
          <w:lang w:val="es-CR"/>
        </w:rPr>
      </w:pPr>
    </w:p>
    <w:p w:rsidR="007458D8" w:rsidRPr="007458D8" w:rsidRDefault="007458D8" w:rsidP="007458D8">
      <w:pPr>
        <w:rPr>
          <w:rFonts w:ascii="Arial" w:hAnsi="Arial" w:cs="Arial"/>
          <w:lang w:val="es-CR"/>
        </w:rPr>
      </w:pPr>
      <w:r w:rsidRPr="007458D8">
        <w:rPr>
          <w:noProof/>
          <w:lang w:val="es-CR" w:eastAsia="es-CR"/>
        </w:rPr>
        <w:drawing>
          <wp:inline distT="0" distB="0" distL="0" distR="0" wp14:anchorId="07A72E16" wp14:editId="339FB70B">
            <wp:extent cx="2333625" cy="28765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876550"/>
                    </a:xfrm>
                    <a:prstGeom prst="rect">
                      <a:avLst/>
                    </a:prstGeom>
                    <a:noFill/>
                    <a:ln>
                      <a:noFill/>
                    </a:ln>
                  </pic:spPr>
                </pic:pic>
              </a:graphicData>
            </a:graphic>
          </wp:inline>
        </w:drawing>
      </w:r>
      <w:r w:rsidRPr="007458D8">
        <w:rPr>
          <w:rFonts w:ascii="Arial" w:hAnsi="Arial" w:cs="Arial"/>
          <w:noProof/>
          <w:lang w:val="es-CR" w:eastAsia="es-CR"/>
        </w:rPr>
        <w:drawing>
          <wp:anchor distT="0" distB="0" distL="114300" distR="114300" simplePos="0" relativeHeight="251662336" behindDoc="1" locked="0" layoutInCell="1" allowOverlap="1" wp14:anchorId="113DEB8E" wp14:editId="0F824FCD">
            <wp:simplePos x="0" y="0"/>
            <wp:positionH relativeFrom="column">
              <wp:posOffset>-3810</wp:posOffset>
            </wp:positionH>
            <wp:positionV relativeFrom="paragraph">
              <wp:posOffset>0</wp:posOffset>
            </wp:positionV>
            <wp:extent cx="2419350" cy="2876550"/>
            <wp:effectExtent l="0" t="0" r="0" b="0"/>
            <wp:wrapThrough wrapText="bothSides">
              <wp:wrapPolygon edited="0">
                <wp:start x="0" y="0"/>
                <wp:lineTo x="0" y="21457"/>
                <wp:lineTo x="21430" y="21457"/>
                <wp:lineTo x="21430"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0A" w:rsidRPr="0043370A" w:rsidRDefault="007458D8" w:rsidP="0043370A">
      <w:pPr>
        <w:spacing w:line="276" w:lineRule="auto"/>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y Canapalma. MEIC 2018</w:t>
      </w:r>
    </w:p>
    <w:p w:rsidR="007458D8" w:rsidRPr="007458D8" w:rsidRDefault="007458D8" w:rsidP="007458D8">
      <w:pPr>
        <w:spacing w:line="276" w:lineRule="auto"/>
        <w:jc w:val="both"/>
        <w:rPr>
          <w:rFonts w:ascii="Arial" w:eastAsia="Calibri" w:hAnsi="Arial" w:cstheme="majorBidi"/>
          <w:szCs w:val="26"/>
          <w:lang w:val="es-CR" w:eastAsia="en-US"/>
        </w:rPr>
      </w:pPr>
      <w:r w:rsidRPr="007458D8">
        <w:rPr>
          <w:rFonts w:ascii="Arial" w:eastAsia="Calibri" w:hAnsi="Arial" w:cstheme="majorBidi"/>
          <w:szCs w:val="26"/>
          <w:lang w:val="es-CR" w:eastAsia="en-US"/>
        </w:rPr>
        <w:lastRenderedPageBreak/>
        <w:t xml:space="preserve">Para un período de diez años, el precio nacional de fruta de palma ha oscilado entre USD 72,95 por TM y USD 193,65 por TM, por su parte, el precio internacional del ACP estuvo oscilando entre un rango de USD 475 y USD 823 por TM. </w:t>
      </w:r>
    </w:p>
    <w:p w:rsidR="007458D8" w:rsidRPr="007458D8" w:rsidRDefault="007458D8" w:rsidP="007458D8">
      <w:pPr>
        <w:spacing w:line="276" w:lineRule="auto"/>
        <w:jc w:val="both"/>
        <w:rPr>
          <w:rFonts w:ascii="Arial" w:eastAsia="Calibri" w:hAnsi="Arial" w:cstheme="majorBidi"/>
          <w:szCs w:val="26"/>
          <w:lang w:val="es-CR" w:eastAsia="en-US"/>
        </w:rPr>
      </w:pPr>
    </w:p>
    <w:p w:rsidR="007458D8" w:rsidRPr="007458D8" w:rsidRDefault="007458D8" w:rsidP="007458D8">
      <w:pPr>
        <w:spacing w:line="276" w:lineRule="auto"/>
        <w:jc w:val="both"/>
        <w:rPr>
          <w:rFonts w:ascii="Arial" w:eastAsia="Calibri" w:hAnsi="Arial" w:cstheme="majorBidi"/>
          <w:szCs w:val="26"/>
          <w:lang w:val="es-CR" w:eastAsia="en-US"/>
        </w:rPr>
      </w:pPr>
      <w:r w:rsidRPr="007458D8">
        <w:rPr>
          <w:rFonts w:ascii="Arial" w:eastAsia="Calibri" w:hAnsi="Arial" w:cstheme="majorBidi"/>
          <w:szCs w:val="26"/>
          <w:lang w:val="es-CR" w:eastAsia="en-US"/>
        </w:rPr>
        <w:t xml:space="preserve">Después de estimar el Coeficiente de Correlación de Pearson se obtiene un resultado de </w:t>
      </w:r>
      <w:r w:rsidRPr="007458D8">
        <w:rPr>
          <w:rFonts w:ascii="Arial" w:eastAsia="Calibri" w:hAnsi="Arial" w:cstheme="majorBidi"/>
          <w:b/>
          <w:szCs w:val="26"/>
          <w:lang w:val="es-CR" w:eastAsia="en-US"/>
        </w:rPr>
        <w:t>96,31%</w:t>
      </w:r>
      <w:r w:rsidRPr="007458D8">
        <w:rPr>
          <w:rFonts w:ascii="Arial" w:eastAsia="Calibri" w:hAnsi="Arial" w:cstheme="majorBidi"/>
          <w:szCs w:val="26"/>
          <w:lang w:val="es-CR" w:eastAsia="en-US"/>
        </w:rPr>
        <w:t xml:space="preserve">, lo cual indica un nivel de asociación casi perfecto entre el precio nacional de la fruta de palma y el precio internacional del aceite crudo. </w:t>
      </w:r>
    </w:p>
    <w:p w:rsidR="007458D8" w:rsidRPr="007458D8" w:rsidRDefault="007458D8" w:rsidP="007458D8">
      <w:pPr>
        <w:spacing w:line="276" w:lineRule="auto"/>
        <w:jc w:val="both"/>
        <w:rPr>
          <w:rFonts w:ascii="Arial" w:eastAsia="Calibri" w:hAnsi="Arial" w:cstheme="majorBidi"/>
          <w:szCs w:val="26"/>
          <w:lang w:val="es-CR" w:eastAsia="en-US"/>
        </w:rPr>
      </w:pPr>
    </w:p>
    <w:p w:rsidR="007458D8" w:rsidRPr="007458D8" w:rsidRDefault="007458D8" w:rsidP="007458D8">
      <w:pPr>
        <w:spacing w:line="276" w:lineRule="auto"/>
        <w:jc w:val="both"/>
        <w:rPr>
          <w:rFonts w:ascii="Arial" w:eastAsia="Calibri" w:hAnsi="Arial" w:cstheme="majorBidi"/>
          <w:szCs w:val="26"/>
          <w:lang w:val="es-CR" w:eastAsia="en-US"/>
        </w:rPr>
      </w:pPr>
      <w:r w:rsidRPr="007458D8">
        <w:rPr>
          <w:rFonts w:ascii="Arial" w:eastAsia="Calibri" w:hAnsi="Arial" w:cstheme="majorBidi"/>
          <w:szCs w:val="26"/>
          <w:lang w:val="es-CR" w:eastAsia="en-US"/>
        </w:rPr>
        <w:t xml:space="preserve">Ahora bien, el precio promedio de la fruta de palma para el período observado es de USD 124,62 por TM y el precio CIF Rotterdam promedio es de USD 815,56, lo que indica que en promedio el precio pagado al productor representó un 15,28% con respecto al precio internacional. Para mayor detalle, se muestra el siguiente gráfico. </w:t>
      </w:r>
    </w:p>
    <w:p w:rsidR="007458D8" w:rsidRPr="007458D8" w:rsidRDefault="007458D8" w:rsidP="007458D8">
      <w:pPr>
        <w:spacing w:line="276" w:lineRule="auto"/>
        <w:jc w:val="both"/>
        <w:rPr>
          <w:rFonts w:ascii="Arial" w:eastAsia="Calibri" w:hAnsi="Arial" w:cstheme="majorBidi"/>
          <w:szCs w:val="26"/>
          <w:lang w:val="es-CR" w:eastAsia="en-US"/>
        </w:rPr>
      </w:pPr>
    </w:p>
    <w:p w:rsidR="007458D8" w:rsidRPr="007458D8" w:rsidRDefault="007458D8" w:rsidP="007458D8">
      <w:pPr>
        <w:spacing w:line="276" w:lineRule="auto"/>
        <w:jc w:val="both"/>
        <w:rPr>
          <w:rFonts w:ascii="Arial" w:eastAsia="Calibri" w:hAnsi="Arial" w:cstheme="majorBidi"/>
          <w:szCs w:val="26"/>
          <w:lang w:val="es-CR" w:eastAsia="en-US"/>
        </w:rPr>
      </w:pPr>
    </w:p>
    <w:p w:rsidR="007458D8" w:rsidRPr="007458D8" w:rsidRDefault="007458D8" w:rsidP="007458D8">
      <w:pPr>
        <w:keepNext/>
        <w:jc w:val="center"/>
        <w:rPr>
          <w:rFonts w:ascii="Arial" w:hAnsi="Arial" w:cs="Arial"/>
          <w:bCs/>
          <w:sz w:val="22"/>
          <w:szCs w:val="20"/>
          <w:lang w:val="es-CR"/>
        </w:rPr>
      </w:pPr>
      <w:bookmarkStart w:id="57" w:name="_Toc63666255"/>
      <w:r w:rsidRPr="007458D8">
        <w:rPr>
          <w:rFonts w:ascii="Arial" w:hAnsi="Arial" w:cs="Arial"/>
          <w:bCs/>
          <w:sz w:val="22"/>
          <w:szCs w:val="20"/>
          <w:lang w:val="es-CR"/>
        </w:rPr>
        <w:t xml:space="preserve">Gráfico </w:t>
      </w:r>
      <w:r w:rsidRPr="007458D8">
        <w:rPr>
          <w:rFonts w:ascii="Arial" w:hAnsi="Arial" w:cs="Arial"/>
          <w:bCs/>
          <w:sz w:val="22"/>
          <w:szCs w:val="20"/>
          <w:lang w:val="es-CR"/>
        </w:rPr>
        <w:fldChar w:fldCharType="begin"/>
      </w:r>
      <w:r w:rsidRPr="007458D8">
        <w:rPr>
          <w:rFonts w:ascii="Arial" w:hAnsi="Arial" w:cs="Arial"/>
          <w:bCs/>
          <w:sz w:val="22"/>
          <w:szCs w:val="20"/>
          <w:lang w:val="es-CR"/>
        </w:rPr>
        <w:instrText xml:space="preserve"> SEQ Gráfico \* ARABIC </w:instrText>
      </w:r>
      <w:r w:rsidRPr="007458D8">
        <w:rPr>
          <w:rFonts w:ascii="Arial" w:hAnsi="Arial" w:cs="Arial"/>
          <w:bCs/>
          <w:sz w:val="22"/>
          <w:szCs w:val="20"/>
          <w:lang w:val="es-CR"/>
        </w:rPr>
        <w:fldChar w:fldCharType="separate"/>
      </w:r>
      <w:r w:rsidRPr="007458D8">
        <w:rPr>
          <w:rFonts w:ascii="Arial" w:hAnsi="Arial" w:cs="Arial"/>
          <w:bCs/>
          <w:noProof/>
          <w:sz w:val="22"/>
          <w:szCs w:val="20"/>
          <w:lang w:val="es-CR"/>
        </w:rPr>
        <w:t>10</w:t>
      </w:r>
      <w:r w:rsidRPr="007458D8">
        <w:rPr>
          <w:rFonts w:ascii="Arial" w:hAnsi="Arial" w:cs="Arial"/>
          <w:bCs/>
          <w:sz w:val="22"/>
          <w:szCs w:val="20"/>
          <w:lang w:val="es-CR"/>
        </w:rPr>
        <w:fldChar w:fldCharType="end"/>
      </w:r>
      <w:r w:rsidRPr="007458D8">
        <w:rPr>
          <w:rFonts w:ascii="Arial" w:hAnsi="Arial" w:cs="Arial"/>
          <w:bCs/>
          <w:sz w:val="22"/>
          <w:szCs w:val="20"/>
          <w:lang w:val="es-CR"/>
        </w:rPr>
        <w:t>. Porcentaje del precio CIF Rotterdam correspondiente al precio nacional de la fruta de palma aceitera. Período: 2010-2018</w:t>
      </w:r>
      <w:bookmarkEnd w:id="57"/>
    </w:p>
    <w:p w:rsidR="007458D8" w:rsidRPr="007458D8" w:rsidRDefault="007458D8" w:rsidP="007458D8">
      <w:pPr>
        <w:rPr>
          <w:lang w:val="es-CR"/>
        </w:rPr>
      </w:pPr>
    </w:p>
    <w:p w:rsidR="007458D8" w:rsidRPr="007458D8" w:rsidRDefault="007458D8" w:rsidP="007458D8">
      <w:pPr>
        <w:spacing w:line="276" w:lineRule="auto"/>
        <w:jc w:val="center"/>
        <w:rPr>
          <w:rFonts w:ascii="Arial" w:eastAsia="Calibri" w:hAnsi="Arial" w:cstheme="majorBidi"/>
          <w:szCs w:val="26"/>
          <w:lang w:val="es-CR" w:eastAsia="en-US"/>
        </w:rPr>
      </w:pPr>
      <w:r w:rsidRPr="007458D8">
        <w:rPr>
          <w:noProof/>
          <w:lang w:val="es-CR" w:eastAsia="es-CR"/>
        </w:rPr>
        <w:drawing>
          <wp:inline distT="0" distB="0" distL="0" distR="0" wp14:anchorId="153C1B34" wp14:editId="3DEC686A">
            <wp:extent cx="4276725"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58D8" w:rsidRPr="007458D8" w:rsidRDefault="007458D8" w:rsidP="007458D8">
      <w:pPr>
        <w:spacing w:line="276" w:lineRule="auto"/>
        <w:jc w:val="center"/>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y Canapalma. MEIC 2018</w:t>
      </w:r>
    </w:p>
    <w:p w:rsidR="00930597" w:rsidRDefault="00930597" w:rsidP="007458D8">
      <w:pPr>
        <w:keepNext/>
        <w:keepLines/>
        <w:spacing w:before="40"/>
        <w:jc w:val="both"/>
        <w:outlineLvl w:val="1"/>
        <w:rPr>
          <w:rFonts w:ascii="Arial" w:eastAsia="Calibri" w:hAnsi="Arial" w:cstheme="majorBidi"/>
          <w:szCs w:val="26"/>
          <w:lang w:val="es-CR" w:eastAsia="en-US"/>
        </w:rPr>
      </w:pPr>
      <w:bookmarkStart w:id="58" w:name="_Toc34906768"/>
    </w:p>
    <w:p w:rsidR="007458D8" w:rsidRPr="00653869" w:rsidRDefault="007458D8" w:rsidP="00653869">
      <w:pPr>
        <w:spacing w:line="276" w:lineRule="auto"/>
        <w:jc w:val="both"/>
        <w:rPr>
          <w:rFonts w:ascii="Arial" w:eastAsia="Calibri" w:hAnsi="Arial" w:cstheme="majorBidi"/>
          <w:szCs w:val="26"/>
          <w:lang w:val="es-CR" w:eastAsia="en-US"/>
        </w:rPr>
      </w:pPr>
      <w:bookmarkStart w:id="59" w:name="_Toc35865818"/>
      <w:r w:rsidRPr="00653869">
        <w:rPr>
          <w:rFonts w:ascii="Arial" w:eastAsia="Calibri" w:hAnsi="Arial" w:cstheme="majorBidi"/>
          <w:szCs w:val="26"/>
          <w:lang w:val="es-CR" w:eastAsia="en-US"/>
        </w:rPr>
        <w:t>El porcentaje con respecto al precio internacional del ACP ha oscilado entre un 12,9% y un 19%, con una mediana de 14,9%, como se muestra en el siguiente cuadro.</w:t>
      </w:r>
      <w:bookmarkEnd w:id="58"/>
      <w:bookmarkEnd w:id="59"/>
      <w:r w:rsidRPr="00653869">
        <w:rPr>
          <w:rFonts w:ascii="Arial" w:eastAsia="Calibri" w:hAnsi="Arial" w:cstheme="majorBidi"/>
          <w:szCs w:val="26"/>
          <w:lang w:val="es-CR" w:eastAsia="en-US"/>
        </w:rPr>
        <w:t xml:space="preserve"> </w:t>
      </w:r>
    </w:p>
    <w:p w:rsidR="007458D8" w:rsidRPr="007458D8" w:rsidRDefault="007458D8" w:rsidP="007458D8">
      <w:pPr>
        <w:rPr>
          <w:rFonts w:eastAsia="Calibri"/>
          <w:lang w:val="es-CR" w:eastAsia="en-US"/>
        </w:rPr>
      </w:pPr>
    </w:p>
    <w:p w:rsidR="007458D8" w:rsidRPr="007458D8" w:rsidRDefault="007458D8" w:rsidP="007458D8">
      <w:pPr>
        <w:rPr>
          <w:rFonts w:eastAsia="Calibri"/>
          <w:lang w:val="es-CR" w:eastAsia="en-US"/>
        </w:rPr>
      </w:pPr>
    </w:p>
    <w:p w:rsidR="007458D8" w:rsidRPr="007458D8" w:rsidRDefault="007458D8" w:rsidP="007458D8">
      <w:pPr>
        <w:keepNext/>
        <w:jc w:val="center"/>
        <w:rPr>
          <w:rFonts w:ascii="Arial" w:hAnsi="Arial" w:cs="Arial"/>
          <w:bCs/>
          <w:szCs w:val="20"/>
          <w:lang w:val="es-CR"/>
        </w:rPr>
      </w:pPr>
      <w:bookmarkStart w:id="60" w:name="_Toc63666235"/>
      <w:r w:rsidRPr="007458D8">
        <w:rPr>
          <w:rFonts w:ascii="Arial" w:hAnsi="Arial" w:cs="Arial"/>
          <w:bCs/>
          <w:szCs w:val="20"/>
          <w:lang w:val="es-CR"/>
        </w:rPr>
        <w:t xml:space="preserve">Cuadro </w:t>
      </w:r>
      <w:r w:rsidRPr="007458D8">
        <w:rPr>
          <w:rFonts w:ascii="Arial" w:hAnsi="Arial" w:cs="Arial"/>
          <w:bCs/>
          <w:szCs w:val="20"/>
          <w:lang w:val="es-CR"/>
        </w:rPr>
        <w:fldChar w:fldCharType="begin"/>
      </w:r>
      <w:r w:rsidRPr="007458D8">
        <w:rPr>
          <w:rFonts w:ascii="Arial" w:hAnsi="Arial" w:cs="Arial"/>
          <w:bCs/>
          <w:szCs w:val="20"/>
          <w:lang w:val="es-CR"/>
        </w:rPr>
        <w:instrText xml:space="preserve"> SEQ Cuadro \* ARABIC </w:instrText>
      </w:r>
      <w:r w:rsidRPr="007458D8">
        <w:rPr>
          <w:rFonts w:ascii="Arial" w:hAnsi="Arial" w:cs="Arial"/>
          <w:bCs/>
          <w:szCs w:val="20"/>
          <w:lang w:val="es-CR"/>
        </w:rPr>
        <w:fldChar w:fldCharType="separate"/>
      </w:r>
      <w:r w:rsidRPr="007458D8">
        <w:rPr>
          <w:rFonts w:ascii="Arial" w:hAnsi="Arial" w:cs="Arial"/>
          <w:bCs/>
          <w:noProof/>
          <w:szCs w:val="20"/>
          <w:lang w:val="es-CR"/>
        </w:rPr>
        <w:t>2</w:t>
      </w:r>
      <w:r w:rsidRPr="007458D8">
        <w:rPr>
          <w:rFonts w:ascii="Arial" w:hAnsi="Arial" w:cs="Arial"/>
          <w:bCs/>
          <w:szCs w:val="20"/>
          <w:lang w:val="es-CR"/>
        </w:rPr>
        <w:fldChar w:fldCharType="end"/>
      </w:r>
      <w:r w:rsidRPr="007458D8">
        <w:rPr>
          <w:rFonts w:ascii="Arial" w:hAnsi="Arial" w:cs="Arial"/>
          <w:bCs/>
          <w:szCs w:val="20"/>
          <w:lang w:val="es-CR"/>
        </w:rPr>
        <w:t>. Resumen estadístico del porcentaje pagado al productor con respecto al precio CIF Rotterdam.</w:t>
      </w:r>
      <w:bookmarkEnd w:id="60"/>
    </w:p>
    <w:p w:rsidR="007458D8" w:rsidRPr="007458D8" w:rsidRDefault="007458D8" w:rsidP="007458D8">
      <w:pPr>
        <w:jc w:val="center"/>
        <w:rPr>
          <w:rFonts w:eastAsia="Calibri"/>
          <w:lang w:val="es-CR" w:eastAsia="en-US"/>
        </w:rPr>
      </w:pPr>
      <w:r w:rsidRPr="007458D8">
        <w:rPr>
          <w:rFonts w:eastAsia="Calibri"/>
          <w:noProof/>
          <w:lang w:val="es-CR" w:eastAsia="es-CR"/>
        </w:rPr>
        <w:drawing>
          <wp:inline distT="0" distB="0" distL="0" distR="0" wp14:anchorId="316E9223" wp14:editId="79E90434">
            <wp:extent cx="2476500" cy="28765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2876550"/>
                    </a:xfrm>
                    <a:prstGeom prst="rect">
                      <a:avLst/>
                    </a:prstGeom>
                    <a:noFill/>
                    <a:ln>
                      <a:noFill/>
                    </a:ln>
                  </pic:spPr>
                </pic:pic>
              </a:graphicData>
            </a:graphic>
          </wp:inline>
        </w:drawing>
      </w:r>
    </w:p>
    <w:p w:rsidR="007458D8" w:rsidRPr="007458D8" w:rsidRDefault="007458D8" w:rsidP="007458D8">
      <w:pPr>
        <w:spacing w:line="276" w:lineRule="auto"/>
        <w:jc w:val="center"/>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y Canapalma. MEIC 2018</w:t>
      </w:r>
    </w:p>
    <w:p w:rsidR="007458D8" w:rsidRPr="007458D8" w:rsidRDefault="007458D8" w:rsidP="007458D8">
      <w:pPr>
        <w:jc w:val="center"/>
        <w:rPr>
          <w:rFonts w:eastAsia="Calibri"/>
          <w:lang w:val="es-CR" w:eastAsia="en-US"/>
        </w:rPr>
      </w:pPr>
    </w:p>
    <w:p w:rsidR="007458D8" w:rsidRPr="007458D8" w:rsidRDefault="007458D8" w:rsidP="007458D8">
      <w:pPr>
        <w:keepNext/>
        <w:keepLines/>
        <w:spacing w:before="40"/>
        <w:outlineLvl w:val="1"/>
        <w:rPr>
          <w:rFonts w:ascii="Arial" w:eastAsia="Calibri" w:hAnsi="Arial" w:cstheme="majorBidi"/>
          <w:szCs w:val="26"/>
          <w:lang w:val="es-CR" w:eastAsia="en-US"/>
        </w:rPr>
      </w:pPr>
    </w:p>
    <w:p w:rsidR="007458D8" w:rsidRPr="007458D8" w:rsidRDefault="007458D8" w:rsidP="0088405B">
      <w:pPr>
        <w:pStyle w:val="Ttulo2"/>
        <w:rPr>
          <w:rFonts w:eastAsia="Calibri"/>
          <w:lang w:val="es-CR" w:eastAsia="en-US"/>
        </w:rPr>
      </w:pPr>
      <w:bookmarkStart w:id="61" w:name="_Toc34906769"/>
      <w:bookmarkStart w:id="62" w:name="_Toc35865819"/>
      <w:bookmarkStart w:id="63" w:name="_Toc63666212"/>
      <w:r w:rsidRPr="007458D8">
        <w:rPr>
          <w:rFonts w:eastAsia="Calibri"/>
          <w:lang w:val="es-CR" w:eastAsia="en-US"/>
        </w:rPr>
        <w:t>Comportamiento de las exportaciones e importaciones nacionales</w:t>
      </w:r>
      <w:bookmarkEnd w:id="61"/>
      <w:bookmarkEnd w:id="62"/>
      <w:bookmarkEnd w:id="63"/>
      <w:r w:rsidRPr="007458D8">
        <w:rPr>
          <w:rFonts w:eastAsia="Calibri"/>
          <w:lang w:val="es-CR" w:eastAsia="en-US"/>
        </w:rPr>
        <w:t xml:space="preserve"> </w:t>
      </w:r>
    </w:p>
    <w:p w:rsidR="007458D8" w:rsidRPr="007458D8" w:rsidRDefault="007458D8" w:rsidP="007458D8">
      <w:pPr>
        <w:rPr>
          <w:lang w:val="es-CR"/>
        </w:rPr>
      </w:pPr>
    </w:p>
    <w:p w:rsidR="007458D8" w:rsidRPr="0088405B" w:rsidRDefault="007458D8" w:rsidP="0088405B">
      <w:pPr>
        <w:spacing w:line="276" w:lineRule="auto"/>
        <w:jc w:val="both"/>
        <w:rPr>
          <w:rFonts w:ascii="Arial" w:hAnsi="Arial" w:cs="Arial"/>
          <w:lang w:val="es-CR"/>
        </w:rPr>
      </w:pPr>
      <w:r w:rsidRPr="0088405B">
        <w:rPr>
          <w:rFonts w:ascii="Arial" w:hAnsi="Arial" w:cs="Arial"/>
          <w:lang w:val="es-CR"/>
        </w:rPr>
        <w:t>En el siguiente gráfico se muestra la relación entre exportaciones e importaciones realizadas desde y hacia Costa Rica.</w:t>
      </w:r>
    </w:p>
    <w:p w:rsidR="007458D8" w:rsidRPr="0088405B" w:rsidRDefault="007458D8" w:rsidP="0088405B">
      <w:pPr>
        <w:spacing w:line="276" w:lineRule="auto"/>
        <w:jc w:val="both"/>
        <w:rPr>
          <w:rFonts w:ascii="Arial" w:hAnsi="Arial" w:cs="Arial"/>
          <w:highlight w:val="yellow"/>
          <w:lang w:val="es-CR"/>
        </w:rPr>
      </w:pPr>
    </w:p>
    <w:p w:rsidR="007458D8" w:rsidRPr="0088405B" w:rsidRDefault="007458D8" w:rsidP="0088405B">
      <w:pPr>
        <w:spacing w:line="276" w:lineRule="auto"/>
        <w:jc w:val="both"/>
        <w:rPr>
          <w:rFonts w:ascii="Arial" w:hAnsi="Arial" w:cs="Arial"/>
          <w:lang w:val="es-CR"/>
        </w:rPr>
      </w:pPr>
      <w:r w:rsidRPr="0088405B">
        <w:rPr>
          <w:rFonts w:ascii="Arial" w:hAnsi="Arial" w:cs="Arial"/>
          <w:lang w:val="es-CR"/>
        </w:rPr>
        <w:t>Las exportaciones aumentaron durante el período 2010-2012 llegando en ese último año a 171.371 TM, posterior a ello disminuye durante los años 2013-2015 a 116 559 TM e inicia de nuevo un repunte en los años 2016-2018 llegando en ese último año a 191.129 TM. Los países que sobresalen en el tema de exportaciones durante el período en estudio son México como el país al que Costa Rica le vende más aceite, seguido de Colombia, Alemania y Reino Unido.</w:t>
      </w:r>
    </w:p>
    <w:p w:rsidR="007458D8" w:rsidRPr="0088405B" w:rsidRDefault="007458D8" w:rsidP="0088405B">
      <w:pPr>
        <w:spacing w:line="276" w:lineRule="auto"/>
        <w:jc w:val="both"/>
        <w:rPr>
          <w:rFonts w:ascii="Arial" w:hAnsi="Arial" w:cs="Arial"/>
          <w:highlight w:val="yellow"/>
          <w:lang w:val="es-CR"/>
        </w:rPr>
      </w:pPr>
    </w:p>
    <w:p w:rsidR="007458D8" w:rsidRPr="00246F47" w:rsidRDefault="007458D8" w:rsidP="0088405B">
      <w:pPr>
        <w:spacing w:line="276" w:lineRule="auto"/>
        <w:jc w:val="both"/>
        <w:rPr>
          <w:lang w:val="es-CR"/>
        </w:rPr>
      </w:pPr>
      <w:r w:rsidRPr="0088405B">
        <w:rPr>
          <w:rFonts w:ascii="Arial" w:hAnsi="Arial" w:cs="Arial"/>
          <w:lang w:val="es-CR"/>
        </w:rPr>
        <w:t xml:space="preserve">Las importaciones crecieron consecutivamente durante el 2010-2014 llegando a representar para ese último año 34.601 TM, sin embargo, para el 2015 las importaciones disminuyeron a 9.066 TM posterior a este año para el 2016 se da un repute a 58.410 TM. Los siguientes años 2017 y 2018 las importaciones han </w:t>
      </w:r>
      <w:r w:rsidRPr="0088405B">
        <w:rPr>
          <w:rFonts w:ascii="Arial" w:hAnsi="Arial" w:cs="Arial"/>
          <w:lang w:val="es-CR"/>
        </w:rPr>
        <w:lastRenderedPageBreak/>
        <w:t>disminuido a 55.649 y 54.196 TM respectivamente, sin embargo, se han mantenido por encima de otros años como se puede observar en el gráfico.</w:t>
      </w:r>
      <w:r w:rsidRPr="007458D8">
        <w:rPr>
          <w:lang w:val="es-CR"/>
        </w:rPr>
        <w:t xml:space="preserve"> </w:t>
      </w:r>
    </w:p>
    <w:p w:rsidR="007458D8" w:rsidRPr="007458D8" w:rsidRDefault="007458D8" w:rsidP="007458D8">
      <w:pPr>
        <w:rPr>
          <w:rFonts w:ascii="Arial" w:eastAsia="Calibri" w:hAnsi="Arial" w:cs="Arial"/>
          <w:b/>
          <w:bCs/>
          <w:lang w:val="es-CR" w:eastAsia="en-US"/>
        </w:rPr>
      </w:pPr>
    </w:p>
    <w:p w:rsidR="007458D8" w:rsidRPr="007458D8" w:rsidRDefault="007458D8" w:rsidP="007458D8">
      <w:pPr>
        <w:jc w:val="center"/>
        <w:rPr>
          <w:rFonts w:ascii="Arial" w:eastAsia="Calibri" w:hAnsi="Arial" w:cs="Arial"/>
          <w:bCs/>
          <w:lang w:val="es-CR" w:eastAsia="en-US"/>
        </w:rPr>
      </w:pPr>
      <w:bookmarkStart w:id="64" w:name="_Toc34744547"/>
      <w:bookmarkStart w:id="65" w:name="_Toc63666256"/>
      <w:r w:rsidRPr="007458D8">
        <w:rPr>
          <w:rFonts w:ascii="Arial" w:eastAsia="Calibri" w:hAnsi="Arial" w:cs="Arial"/>
          <w:bCs/>
          <w:lang w:val="es-CR" w:eastAsia="en-US"/>
        </w:rPr>
        <w:t xml:space="preserve">Gráfico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Gráfico \* ARABIC </w:instrText>
      </w:r>
      <w:r w:rsidRPr="007458D8">
        <w:rPr>
          <w:rFonts w:ascii="Arial" w:eastAsia="Calibri" w:hAnsi="Arial" w:cs="Arial"/>
          <w:bCs/>
          <w:lang w:val="es-CR" w:eastAsia="en-US"/>
        </w:rPr>
        <w:fldChar w:fldCharType="separate"/>
      </w:r>
      <w:r w:rsidRPr="007458D8">
        <w:rPr>
          <w:rFonts w:ascii="Arial" w:eastAsia="Calibri" w:hAnsi="Arial" w:cs="Arial"/>
          <w:bCs/>
          <w:noProof/>
          <w:lang w:val="es-CR" w:eastAsia="en-US"/>
        </w:rPr>
        <w:t>11</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Relación entre exportaciones e importaciones de Costa Rica durante el período 2010-2018</w:t>
      </w:r>
      <w:bookmarkEnd w:id="64"/>
      <w:bookmarkEnd w:id="65"/>
    </w:p>
    <w:p w:rsidR="007458D8" w:rsidRPr="007458D8" w:rsidRDefault="007458D8" w:rsidP="007458D8">
      <w:pPr>
        <w:spacing w:line="276" w:lineRule="auto"/>
        <w:jc w:val="both"/>
        <w:rPr>
          <w:rFonts w:ascii="Arial" w:hAnsi="Arial" w:cs="Arial"/>
          <w:highlight w:val="yellow"/>
          <w:lang w:val="es-CR"/>
        </w:rPr>
      </w:pPr>
      <w:r w:rsidRPr="007458D8">
        <w:rPr>
          <w:noProof/>
          <w:lang w:val="es-CR" w:eastAsia="es-CR"/>
        </w:rPr>
        <w:drawing>
          <wp:inline distT="0" distB="0" distL="0" distR="0" wp14:anchorId="7B5347A2" wp14:editId="44EFFEB9">
            <wp:extent cx="5879088" cy="2799298"/>
            <wp:effectExtent l="0" t="0" r="2667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58D8" w:rsidRPr="007458D8" w:rsidRDefault="007458D8" w:rsidP="007458D8">
      <w:pPr>
        <w:spacing w:line="276" w:lineRule="auto"/>
        <w:rPr>
          <w:rFonts w:ascii="Arial" w:eastAsia="Calibri" w:hAnsi="Arial" w:cs="Arial"/>
          <w:sz w:val="20"/>
          <w:szCs w:val="20"/>
          <w:lang w:val="es-CR" w:eastAsia="en-US"/>
        </w:rPr>
      </w:pPr>
      <w:r w:rsidRPr="007458D8">
        <w:rPr>
          <w:rFonts w:ascii="Arial" w:eastAsia="Calibri" w:hAnsi="Arial" w:cs="Arial"/>
          <w:sz w:val="20"/>
          <w:szCs w:val="20"/>
          <w:lang w:val="es-CR" w:eastAsia="en-US"/>
        </w:rPr>
        <w:t>Fuente: Elaboración propia con datos de la Agroindustria. MEIC 2018</w:t>
      </w:r>
    </w:p>
    <w:p w:rsidR="007458D8" w:rsidRPr="007458D8" w:rsidRDefault="007458D8" w:rsidP="007458D8">
      <w:pPr>
        <w:spacing w:line="276" w:lineRule="auto"/>
        <w:jc w:val="both"/>
        <w:rPr>
          <w:rFonts w:ascii="Arial" w:hAnsi="Arial" w:cs="Arial"/>
          <w:lang w:val="es-CR"/>
        </w:rPr>
      </w:pPr>
    </w:p>
    <w:p w:rsidR="00D51AD8" w:rsidRPr="007458D8" w:rsidRDefault="00D51AD8" w:rsidP="007458D8">
      <w:pPr>
        <w:spacing w:line="276" w:lineRule="auto"/>
        <w:jc w:val="both"/>
        <w:rPr>
          <w:rFonts w:ascii="Arial" w:hAnsi="Arial" w:cs="Arial"/>
          <w:lang w:val="es-CR"/>
        </w:rPr>
      </w:pPr>
    </w:p>
    <w:p w:rsidR="007458D8" w:rsidRDefault="00D93FD5" w:rsidP="00D93FD5">
      <w:pPr>
        <w:pStyle w:val="Ttulo2"/>
        <w:rPr>
          <w:rFonts w:cs="Arial"/>
          <w:b w:val="0"/>
          <w:bCs/>
          <w:sz w:val="28"/>
          <w:lang w:val="es-CR"/>
        </w:rPr>
      </w:pPr>
      <w:bookmarkStart w:id="66" w:name="_Toc63666213"/>
      <w:r w:rsidRPr="00D93FD5">
        <w:rPr>
          <w:rFonts w:eastAsia="Calibri"/>
          <w:lang w:val="es-CR" w:eastAsia="en-US"/>
        </w:rPr>
        <w:t>El pago de la fruta en la industria</w:t>
      </w:r>
      <w:bookmarkEnd w:id="66"/>
      <w:r w:rsidRPr="00D93FD5">
        <w:rPr>
          <w:rFonts w:eastAsia="Calibri"/>
          <w:lang w:val="es-CR" w:eastAsia="en-US"/>
        </w:rPr>
        <w:t xml:space="preserve"> </w:t>
      </w:r>
    </w:p>
    <w:p w:rsidR="00D93FD5" w:rsidRDefault="00D93FD5" w:rsidP="00D51AD8">
      <w:pPr>
        <w:pStyle w:val="Sinespaciado"/>
        <w:rPr>
          <w:lang w:val="es-CR"/>
        </w:rPr>
      </w:pPr>
    </w:p>
    <w:p w:rsidR="00D93FD5" w:rsidRPr="00D93FD5" w:rsidRDefault="00D93FD5" w:rsidP="00D51AD8">
      <w:pPr>
        <w:jc w:val="both"/>
        <w:rPr>
          <w:rFonts w:ascii="Arial" w:hAnsi="Arial" w:cs="Arial"/>
          <w:lang w:val="es-CR"/>
        </w:rPr>
      </w:pPr>
      <w:r w:rsidRPr="00D93FD5">
        <w:rPr>
          <w:rFonts w:ascii="Arial" w:hAnsi="Arial" w:cs="Arial"/>
          <w:lang w:val="es-CR"/>
        </w:rPr>
        <w:t>En el s</w:t>
      </w:r>
      <w:r>
        <w:rPr>
          <w:rFonts w:ascii="Arial" w:hAnsi="Arial" w:cs="Arial"/>
          <w:lang w:val="es-CR"/>
        </w:rPr>
        <w:t xml:space="preserve">iguiente apartado se muestra los mecanismos de pago de cada una de las </w:t>
      </w:r>
      <w:r w:rsidR="00D51AD8">
        <w:rPr>
          <w:rFonts w:ascii="Arial" w:hAnsi="Arial" w:cs="Arial"/>
          <w:lang w:val="es-CR"/>
        </w:rPr>
        <w:t>industrias, sin importante resaltar que, aunque solo hay dos empresas encargadas de comprar la fruta de palma e industrializar el aceite. Cada una cuenta con mecanismos de pago muy diferentes y esto justifica los diferentes precios que se pagan al productor.</w:t>
      </w:r>
    </w:p>
    <w:p w:rsidR="00D93FD5" w:rsidRPr="00661D2F" w:rsidRDefault="00D93FD5" w:rsidP="00D93FD5">
      <w:pPr>
        <w:spacing w:line="276" w:lineRule="auto"/>
        <w:rPr>
          <w:rFonts w:ascii="Arial" w:hAnsi="Arial" w:cs="Arial"/>
          <w:lang w:val="es-CR"/>
        </w:rPr>
      </w:pPr>
    </w:p>
    <w:p w:rsidR="00D51AD8" w:rsidRPr="00D51AD8" w:rsidRDefault="00D51AD8" w:rsidP="00D51AD8">
      <w:pPr>
        <w:pStyle w:val="Ttulo3"/>
        <w:rPr>
          <w:sz w:val="32"/>
          <w:szCs w:val="32"/>
          <w:lang w:val="es-CR"/>
        </w:rPr>
      </w:pPr>
      <w:bookmarkStart w:id="67" w:name="_Toc63666214"/>
      <w:r w:rsidRPr="00D51AD8">
        <w:rPr>
          <w:sz w:val="32"/>
          <w:szCs w:val="32"/>
          <w:lang w:val="es-CR"/>
        </w:rPr>
        <w:t>Palma Tica</w:t>
      </w:r>
      <w:bookmarkEnd w:id="67"/>
    </w:p>
    <w:p w:rsidR="00D51AD8" w:rsidRPr="00D51AD8" w:rsidRDefault="00D51AD8" w:rsidP="00D51AD8">
      <w:pPr>
        <w:pStyle w:val="Sinespaciado"/>
        <w:rPr>
          <w:lang w:val="es-CR"/>
        </w:rPr>
      </w:pPr>
    </w:p>
    <w:p w:rsidR="00D93FD5" w:rsidRPr="00D05719" w:rsidRDefault="00D93FD5" w:rsidP="00D93FD5">
      <w:pPr>
        <w:spacing w:line="276" w:lineRule="auto"/>
        <w:jc w:val="both"/>
        <w:rPr>
          <w:rFonts w:ascii="Arial" w:hAnsi="Arial" w:cs="Arial"/>
          <w:lang w:val="es-CR"/>
        </w:rPr>
      </w:pPr>
      <w:r w:rsidRPr="00D05719">
        <w:rPr>
          <w:rFonts w:ascii="Arial" w:hAnsi="Arial" w:cs="Arial"/>
          <w:lang w:val="es-CR"/>
        </w:rPr>
        <w:t>La empresa Palma Tica también toma en cuenta parámetros de calidad de la fruta, para el pago de la misma, lo cual generará bonificaciones o deducciones según sea el caso. A continuación, se muestran los parámetros de inspección y su nivel de aceptación.</w:t>
      </w:r>
    </w:p>
    <w:p w:rsidR="00D93FD5" w:rsidRDefault="00D93FD5" w:rsidP="00D93FD5">
      <w:pPr>
        <w:pStyle w:val="Prrafodelista"/>
        <w:spacing w:line="276" w:lineRule="auto"/>
        <w:rPr>
          <w:rFonts w:ascii="Arial" w:hAnsi="Arial" w:cs="Arial"/>
          <w:highlight w:val="yellow"/>
          <w:lang w:val="es-CR"/>
        </w:rPr>
      </w:pPr>
    </w:p>
    <w:p w:rsidR="00D51AD8" w:rsidRPr="00D05719" w:rsidRDefault="00D51AD8" w:rsidP="00D93FD5">
      <w:pPr>
        <w:pStyle w:val="Prrafodelista"/>
        <w:spacing w:line="276" w:lineRule="auto"/>
        <w:rPr>
          <w:rFonts w:ascii="Arial" w:hAnsi="Arial" w:cs="Arial"/>
          <w:highlight w:val="yellow"/>
          <w:lang w:val="es-CR"/>
        </w:rPr>
      </w:pPr>
    </w:p>
    <w:p w:rsidR="00D93FD5" w:rsidRPr="00D05719" w:rsidRDefault="00D93FD5" w:rsidP="00D93FD5">
      <w:pPr>
        <w:pStyle w:val="Descripcin"/>
        <w:rPr>
          <w:rFonts w:ascii="Arial" w:hAnsi="Arial" w:cs="Arial"/>
          <w:sz w:val="24"/>
          <w:szCs w:val="24"/>
          <w:lang w:val="es-CR"/>
        </w:rPr>
      </w:pPr>
      <w:bookmarkStart w:id="68" w:name="_Toc477264435"/>
      <w:bookmarkStart w:id="69" w:name="_Toc35512631"/>
      <w:bookmarkStart w:id="70" w:name="_Toc63666236"/>
      <w:r w:rsidRPr="00C137D4">
        <w:rPr>
          <w:rFonts w:ascii="Arial" w:hAnsi="Arial" w:cs="Arial"/>
          <w:sz w:val="24"/>
          <w:szCs w:val="24"/>
          <w:lang w:val="es-CR"/>
        </w:rPr>
        <w:lastRenderedPageBreak/>
        <w:t xml:space="preserve">Cuadro </w:t>
      </w:r>
      <w:r w:rsidRPr="00C137D4">
        <w:rPr>
          <w:rFonts w:ascii="Arial" w:hAnsi="Arial" w:cs="Arial"/>
          <w:sz w:val="24"/>
          <w:szCs w:val="24"/>
          <w:lang w:val="es-CR"/>
        </w:rPr>
        <w:fldChar w:fldCharType="begin"/>
      </w:r>
      <w:r w:rsidRPr="00C137D4">
        <w:rPr>
          <w:rFonts w:ascii="Arial" w:hAnsi="Arial" w:cs="Arial"/>
          <w:sz w:val="24"/>
          <w:szCs w:val="24"/>
          <w:lang w:val="es-CR"/>
        </w:rPr>
        <w:instrText xml:space="preserve"> SEQ Cuadro \* ARABIC </w:instrText>
      </w:r>
      <w:r w:rsidRPr="00C137D4">
        <w:rPr>
          <w:rFonts w:ascii="Arial" w:hAnsi="Arial" w:cs="Arial"/>
          <w:sz w:val="24"/>
          <w:szCs w:val="24"/>
          <w:lang w:val="es-CR"/>
        </w:rPr>
        <w:fldChar w:fldCharType="separate"/>
      </w:r>
      <w:r w:rsidR="00D51AD8">
        <w:rPr>
          <w:rFonts w:ascii="Arial" w:hAnsi="Arial" w:cs="Arial"/>
          <w:noProof/>
          <w:sz w:val="24"/>
          <w:szCs w:val="24"/>
          <w:lang w:val="es-CR"/>
        </w:rPr>
        <w:t>3</w:t>
      </w:r>
      <w:r w:rsidRPr="00C137D4">
        <w:rPr>
          <w:rFonts w:ascii="Arial" w:hAnsi="Arial" w:cs="Arial"/>
          <w:sz w:val="24"/>
          <w:szCs w:val="24"/>
          <w:lang w:val="es-CR"/>
        </w:rPr>
        <w:fldChar w:fldCharType="end"/>
      </w:r>
      <w:r w:rsidRPr="00D05719">
        <w:rPr>
          <w:rFonts w:ascii="Arial" w:hAnsi="Arial" w:cs="Arial"/>
          <w:sz w:val="24"/>
          <w:szCs w:val="24"/>
          <w:lang w:val="es-CR"/>
        </w:rPr>
        <w:t>. Parámetro de calidad de la fruta en racimos</w:t>
      </w:r>
      <w:bookmarkEnd w:id="68"/>
      <w:bookmarkEnd w:id="69"/>
      <w:bookmarkEnd w:id="70"/>
      <w:r w:rsidRPr="00D05719">
        <w:rPr>
          <w:rFonts w:ascii="Arial" w:hAnsi="Arial" w:cs="Arial"/>
          <w:sz w:val="24"/>
          <w:szCs w:val="24"/>
          <w:lang w:val="es-CR"/>
        </w:rPr>
        <w:t xml:space="preserve"> </w:t>
      </w:r>
    </w:p>
    <w:p w:rsidR="00D93FD5" w:rsidRPr="00D05719" w:rsidRDefault="00D93FD5" w:rsidP="00D93FD5">
      <w:pPr>
        <w:pStyle w:val="Sinespaciado"/>
        <w:rPr>
          <w:lang w:val="es-CR"/>
        </w:rPr>
      </w:pPr>
    </w:p>
    <w:tbl>
      <w:tblPr>
        <w:tblW w:w="5000" w:type="pct"/>
        <w:jc w:val="center"/>
        <w:tblCellMar>
          <w:left w:w="70" w:type="dxa"/>
          <w:right w:w="70" w:type="dxa"/>
        </w:tblCellMar>
        <w:tblLook w:val="04A0" w:firstRow="1" w:lastRow="0" w:firstColumn="1" w:lastColumn="0" w:noHBand="0" w:noVBand="1"/>
      </w:tblPr>
      <w:tblGrid>
        <w:gridCol w:w="4028"/>
        <w:gridCol w:w="2224"/>
        <w:gridCol w:w="2242"/>
      </w:tblGrid>
      <w:tr w:rsidR="00D93FD5" w:rsidRPr="00D05719" w:rsidTr="009F5196">
        <w:trPr>
          <w:trHeight w:val="43"/>
          <w:tblHeader/>
          <w:jc w:val="center"/>
        </w:trPr>
        <w:tc>
          <w:tcPr>
            <w:tcW w:w="2371"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93FD5" w:rsidRPr="00D05719" w:rsidRDefault="00D93FD5" w:rsidP="009F5196">
            <w:pPr>
              <w:jc w:val="center"/>
              <w:rPr>
                <w:rFonts w:ascii="Arial" w:hAnsi="Arial" w:cs="Arial"/>
                <w:b/>
                <w:bCs/>
                <w:color w:val="000000"/>
                <w:sz w:val="22"/>
                <w:szCs w:val="22"/>
                <w:lang w:val="es-CR" w:eastAsia="es-CR"/>
              </w:rPr>
            </w:pPr>
            <w:r w:rsidRPr="00D05719">
              <w:rPr>
                <w:rFonts w:ascii="Arial" w:hAnsi="Arial" w:cs="Arial"/>
                <w:b/>
                <w:bCs/>
                <w:color w:val="000000"/>
                <w:sz w:val="22"/>
                <w:szCs w:val="22"/>
                <w:lang w:val="es-CR" w:eastAsia="es-CR"/>
              </w:rPr>
              <w:t>DESCRIPCION</w:t>
            </w:r>
          </w:p>
        </w:tc>
        <w:tc>
          <w:tcPr>
            <w:tcW w:w="1309" w:type="pct"/>
            <w:tcBorders>
              <w:top w:val="single" w:sz="4" w:space="0" w:color="auto"/>
              <w:left w:val="nil"/>
              <w:bottom w:val="single" w:sz="4" w:space="0" w:color="auto"/>
              <w:right w:val="single" w:sz="4" w:space="0" w:color="auto"/>
            </w:tcBorders>
            <w:shd w:val="clear" w:color="000000" w:fill="DDEBF7"/>
            <w:noWrap/>
            <w:vAlign w:val="bottom"/>
            <w:hideMark/>
          </w:tcPr>
          <w:p w:rsidR="00D93FD5" w:rsidRPr="00D05719" w:rsidRDefault="00D93FD5" w:rsidP="009F5196">
            <w:pPr>
              <w:jc w:val="center"/>
              <w:rPr>
                <w:rFonts w:ascii="Arial" w:hAnsi="Arial" w:cs="Arial"/>
                <w:b/>
                <w:bCs/>
                <w:color w:val="000000"/>
                <w:sz w:val="22"/>
                <w:szCs w:val="22"/>
                <w:lang w:val="es-CR" w:eastAsia="es-CR"/>
              </w:rPr>
            </w:pPr>
            <w:r w:rsidRPr="00D05719">
              <w:rPr>
                <w:rFonts w:ascii="Arial" w:hAnsi="Arial" w:cs="Arial"/>
                <w:b/>
                <w:bCs/>
                <w:color w:val="000000"/>
                <w:sz w:val="22"/>
                <w:szCs w:val="22"/>
                <w:lang w:val="es-CR" w:eastAsia="es-CR"/>
              </w:rPr>
              <w:t xml:space="preserve"> CALIDAD “A”</w:t>
            </w:r>
          </w:p>
        </w:tc>
        <w:tc>
          <w:tcPr>
            <w:tcW w:w="1320" w:type="pct"/>
            <w:tcBorders>
              <w:top w:val="single" w:sz="4" w:space="0" w:color="auto"/>
              <w:left w:val="nil"/>
              <w:bottom w:val="single" w:sz="4" w:space="0" w:color="auto"/>
              <w:right w:val="single" w:sz="4" w:space="0" w:color="auto"/>
            </w:tcBorders>
            <w:shd w:val="clear" w:color="000000" w:fill="DDEBF7"/>
            <w:noWrap/>
            <w:vAlign w:val="bottom"/>
            <w:hideMark/>
          </w:tcPr>
          <w:p w:rsidR="00D93FD5" w:rsidRPr="00D05719" w:rsidRDefault="00D93FD5" w:rsidP="009F5196">
            <w:pPr>
              <w:jc w:val="center"/>
              <w:rPr>
                <w:rFonts w:ascii="Arial" w:hAnsi="Arial" w:cs="Arial"/>
                <w:b/>
                <w:bCs/>
                <w:color w:val="000000"/>
                <w:sz w:val="22"/>
                <w:szCs w:val="22"/>
                <w:lang w:val="es-CR" w:eastAsia="es-CR"/>
              </w:rPr>
            </w:pPr>
            <w:r w:rsidRPr="00D05719">
              <w:rPr>
                <w:rFonts w:ascii="Arial" w:hAnsi="Arial" w:cs="Arial"/>
                <w:b/>
                <w:bCs/>
                <w:color w:val="000000"/>
                <w:sz w:val="22"/>
                <w:szCs w:val="22"/>
                <w:lang w:val="es-CR" w:eastAsia="es-CR"/>
              </w:rPr>
              <w:t xml:space="preserve"> BONIFICADA</w:t>
            </w:r>
          </w:p>
        </w:tc>
      </w:tr>
      <w:tr w:rsidR="00D93FD5" w:rsidRPr="00D05719" w:rsidTr="009F5196">
        <w:trPr>
          <w:trHeight w:val="43"/>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1. Racimos sobre maduros</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5,00</w:t>
            </w:r>
          </w:p>
        </w:tc>
      </w:tr>
      <w:tr w:rsidR="00D93FD5" w:rsidRPr="00D05719" w:rsidTr="009F5196">
        <w:trPr>
          <w:trHeight w:val="88"/>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 xml:space="preserve">2. Racimos pasados </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0,25</w:t>
            </w:r>
          </w:p>
        </w:tc>
      </w:tr>
      <w:tr w:rsidR="00D93FD5" w:rsidRPr="00D05719" w:rsidTr="009F5196">
        <w:trPr>
          <w:trHeight w:val="43"/>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3. Racimos pinzote largo</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0,25</w:t>
            </w:r>
          </w:p>
        </w:tc>
      </w:tr>
      <w:tr w:rsidR="00D93FD5" w:rsidRPr="00D05719" w:rsidTr="009F5196">
        <w:trPr>
          <w:trHeight w:val="136"/>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4. Racimos verdes</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2,00</w:t>
            </w:r>
          </w:p>
        </w:tc>
      </w:tr>
      <w:tr w:rsidR="00D93FD5" w:rsidRPr="00D05719" w:rsidTr="009F5196">
        <w:trPr>
          <w:trHeight w:val="68"/>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5. Factor de racimos</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12,50</w:t>
            </w: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7,50</w:t>
            </w:r>
          </w:p>
        </w:tc>
      </w:tr>
      <w:tr w:rsidR="00D93FD5" w:rsidRPr="00D05719" w:rsidTr="009F5196">
        <w:trPr>
          <w:trHeight w:val="43"/>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6. % Fruta suelta</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7,00</w:t>
            </w: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7,00</w:t>
            </w:r>
          </w:p>
        </w:tc>
      </w:tr>
      <w:tr w:rsidR="00D93FD5" w:rsidRPr="00D05719" w:rsidTr="009F5196">
        <w:trPr>
          <w:trHeight w:val="43"/>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7. Acidez de la fruta suelta</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Menos 7,50%</w:t>
            </w: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Menos 7,50%</w:t>
            </w:r>
          </w:p>
        </w:tc>
      </w:tr>
      <w:tr w:rsidR="00D93FD5" w:rsidRPr="00D05719" w:rsidTr="009F5196">
        <w:trPr>
          <w:trHeight w:val="62"/>
          <w:jc w:val="center"/>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rsidR="00D93FD5" w:rsidRPr="00D05719" w:rsidRDefault="00D93FD5" w:rsidP="009F5196">
            <w:pPr>
              <w:rPr>
                <w:rFonts w:ascii="Arial" w:hAnsi="Arial" w:cs="Arial"/>
                <w:color w:val="000000"/>
                <w:sz w:val="22"/>
                <w:szCs w:val="22"/>
                <w:lang w:val="es-CR" w:eastAsia="es-CR"/>
              </w:rPr>
            </w:pPr>
            <w:r w:rsidRPr="00D05719">
              <w:rPr>
                <w:rFonts w:ascii="Arial" w:hAnsi="Arial" w:cs="Arial"/>
                <w:color w:val="000000"/>
                <w:sz w:val="22"/>
                <w:szCs w:val="22"/>
                <w:lang w:val="es-CR" w:eastAsia="es-CR"/>
              </w:rPr>
              <w:t>8. Materia extraña</w:t>
            </w:r>
          </w:p>
        </w:tc>
        <w:tc>
          <w:tcPr>
            <w:tcW w:w="1309"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Menos 4,00%</w:t>
            </w:r>
          </w:p>
        </w:tc>
        <w:tc>
          <w:tcPr>
            <w:tcW w:w="1320" w:type="pct"/>
            <w:tcBorders>
              <w:top w:val="nil"/>
              <w:left w:val="nil"/>
              <w:bottom w:val="single" w:sz="4" w:space="0" w:color="auto"/>
              <w:right w:val="single" w:sz="4" w:space="0" w:color="auto"/>
            </w:tcBorders>
            <w:shd w:val="clear" w:color="auto" w:fill="auto"/>
            <w:noWrap/>
            <w:vAlign w:val="bottom"/>
            <w:hideMark/>
          </w:tcPr>
          <w:p w:rsidR="00D93FD5" w:rsidRPr="00D05719" w:rsidRDefault="00D93FD5" w:rsidP="003246A0">
            <w:pPr>
              <w:jc w:val="center"/>
              <w:rPr>
                <w:rFonts w:ascii="Arial" w:hAnsi="Arial" w:cs="Arial"/>
                <w:color w:val="000000"/>
                <w:sz w:val="22"/>
                <w:szCs w:val="22"/>
                <w:lang w:val="es-CR" w:eastAsia="es-CR"/>
              </w:rPr>
            </w:pPr>
            <w:r w:rsidRPr="00D05719">
              <w:rPr>
                <w:rFonts w:ascii="Arial" w:hAnsi="Arial" w:cs="Arial"/>
                <w:color w:val="000000"/>
                <w:sz w:val="22"/>
                <w:szCs w:val="22"/>
                <w:lang w:val="es-CR" w:eastAsia="es-CR"/>
              </w:rPr>
              <w:t>Menos 2,50%</w:t>
            </w:r>
          </w:p>
        </w:tc>
      </w:tr>
    </w:tbl>
    <w:p w:rsidR="00D93FD5" w:rsidRPr="00D05719" w:rsidRDefault="00D93FD5" w:rsidP="00D93FD5">
      <w:pPr>
        <w:spacing w:line="276" w:lineRule="auto"/>
        <w:rPr>
          <w:rFonts w:ascii="Arial" w:hAnsi="Arial" w:cs="Arial"/>
          <w:lang w:val="es-CR"/>
        </w:rPr>
      </w:pPr>
      <w:r w:rsidRPr="00D05719">
        <w:rPr>
          <w:rFonts w:ascii="Arial" w:hAnsi="Arial" w:cs="Arial"/>
          <w:lang w:val="es-CR"/>
        </w:rPr>
        <w:t>Fuente: Canapalma, 2018</w:t>
      </w:r>
    </w:p>
    <w:p w:rsidR="00D93FD5" w:rsidRDefault="00D93FD5" w:rsidP="00D93FD5">
      <w:pPr>
        <w:spacing w:line="276" w:lineRule="auto"/>
        <w:rPr>
          <w:rFonts w:ascii="Arial" w:hAnsi="Arial" w:cs="Arial"/>
          <w:lang w:val="es-CR"/>
        </w:rPr>
      </w:pPr>
    </w:p>
    <w:p w:rsidR="00D93FD5" w:rsidRPr="00D05719" w:rsidRDefault="00D93FD5" w:rsidP="00D93FD5">
      <w:pPr>
        <w:spacing w:line="276" w:lineRule="auto"/>
        <w:rPr>
          <w:rFonts w:ascii="Arial" w:hAnsi="Arial" w:cs="Arial"/>
          <w:lang w:val="es-CR"/>
        </w:rPr>
      </w:pPr>
      <w:r w:rsidRPr="00D05719">
        <w:rPr>
          <w:rFonts w:ascii="Arial" w:hAnsi="Arial" w:cs="Arial"/>
          <w:lang w:val="es-CR"/>
        </w:rPr>
        <w:t>Se define como “factor de calidad combinado” para la fruta en racimos la suma de los numerales 1, 2, 3 y 4 anteriores.</w:t>
      </w:r>
    </w:p>
    <w:p w:rsidR="00D93FD5" w:rsidRPr="00D05719" w:rsidRDefault="00D93FD5" w:rsidP="00D93FD5">
      <w:pPr>
        <w:pStyle w:val="Sinespaciado"/>
        <w:rPr>
          <w:lang w:val="es-CR"/>
        </w:rPr>
      </w:pPr>
    </w:p>
    <w:p w:rsidR="00D93FD5" w:rsidRPr="00D05719" w:rsidRDefault="00D93FD5" w:rsidP="00D93FD5">
      <w:pPr>
        <w:spacing w:line="276" w:lineRule="auto"/>
        <w:jc w:val="both"/>
        <w:rPr>
          <w:rFonts w:ascii="Arial" w:hAnsi="Arial" w:cs="Arial"/>
          <w:lang w:val="es-CR"/>
        </w:rPr>
      </w:pPr>
      <w:r w:rsidRPr="00D05719">
        <w:rPr>
          <w:rFonts w:ascii="Arial" w:hAnsi="Arial" w:cs="Arial"/>
          <w:lang w:val="es-CR"/>
        </w:rPr>
        <w:t>El porcentaje de fruta suelta se determina dividiendo el peso del coyol sobre el peso de la fruta en racimos entregados para el periodo de pago.</w:t>
      </w:r>
    </w:p>
    <w:p w:rsidR="00D93FD5" w:rsidRPr="00D05719" w:rsidRDefault="00D93FD5" w:rsidP="00D93FD5">
      <w:pPr>
        <w:pStyle w:val="Sinespaciado"/>
        <w:rPr>
          <w:lang w:val="es-CR"/>
        </w:rPr>
      </w:pPr>
    </w:p>
    <w:p w:rsidR="00D93FD5" w:rsidRPr="00D05719" w:rsidRDefault="00D93FD5" w:rsidP="00D93FD5">
      <w:pPr>
        <w:spacing w:line="276" w:lineRule="auto"/>
        <w:jc w:val="both"/>
        <w:rPr>
          <w:rFonts w:ascii="Arial" w:hAnsi="Arial" w:cs="Arial"/>
          <w:lang w:val="es-CR"/>
        </w:rPr>
      </w:pPr>
      <w:r w:rsidRPr="00D05719">
        <w:rPr>
          <w:rFonts w:ascii="Arial" w:hAnsi="Arial" w:cs="Arial"/>
          <w:lang w:val="es-CR"/>
        </w:rPr>
        <w:t xml:space="preserve">Para calificar la fruta en racimos con calidad “A”, el productor debe entregar por día un mínimo de 5,0% de fruta suelta. </w:t>
      </w:r>
      <w:r w:rsidR="00D51AD8" w:rsidRPr="00D05719">
        <w:rPr>
          <w:rFonts w:ascii="Arial" w:hAnsi="Arial" w:cs="Arial"/>
          <w:lang w:val="es-CR"/>
        </w:rPr>
        <w:t>Además,</w:t>
      </w:r>
      <w:r w:rsidRPr="00D05719">
        <w:rPr>
          <w:rFonts w:ascii="Arial" w:hAnsi="Arial" w:cs="Arial"/>
          <w:lang w:val="es-CR"/>
        </w:rPr>
        <w:t xml:space="preserve"> al final de la semana el promedio del porcentaje de fruta suelta debe ser igual o superior a 7,0% y que la fruta en racimos en cada día haya alcanzado hasta un máximo de factor de racimos combinado de 12,5%.</w:t>
      </w:r>
    </w:p>
    <w:p w:rsidR="00D93FD5" w:rsidRPr="00D05719" w:rsidRDefault="00D93FD5" w:rsidP="00D93FD5">
      <w:pPr>
        <w:pStyle w:val="Sinespaciado"/>
        <w:rPr>
          <w:lang w:val="es-CR"/>
        </w:rPr>
      </w:pPr>
    </w:p>
    <w:p w:rsidR="00D93FD5" w:rsidRPr="00D05719" w:rsidRDefault="00D93FD5" w:rsidP="00D93FD5">
      <w:pPr>
        <w:spacing w:line="276" w:lineRule="auto"/>
        <w:jc w:val="both"/>
        <w:rPr>
          <w:rFonts w:ascii="Arial" w:hAnsi="Arial" w:cs="Arial"/>
          <w:lang w:val="es-CR"/>
        </w:rPr>
      </w:pPr>
      <w:r w:rsidRPr="00D05719">
        <w:rPr>
          <w:rFonts w:ascii="Arial" w:hAnsi="Arial" w:cs="Arial"/>
          <w:lang w:val="es-CR"/>
        </w:rPr>
        <w:t>Si no se alcanza el mínimo diario de 5,0% de fruta suelta o el promedio semanal de 7,0% de fruta suelta o si el máximo diario de factor de racimos combinado excede el 12,5%, la fruta en racimos de cada día estará sujeta a los siguientes castigos:</w:t>
      </w:r>
    </w:p>
    <w:p w:rsidR="00D93FD5" w:rsidRPr="00D05719" w:rsidRDefault="00D93FD5" w:rsidP="00D93FD5">
      <w:pPr>
        <w:spacing w:line="276" w:lineRule="auto"/>
        <w:rPr>
          <w:rFonts w:ascii="Arial" w:hAnsi="Arial" w:cs="Arial"/>
          <w:lang w:val="es-CR"/>
        </w:rPr>
      </w:pPr>
    </w:p>
    <w:p w:rsidR="00D93FD5" w:rsidRPr="00D05719" w:rsidRDefault="00D93FD5" w:rsidP="00D93FD5">
      <w:pPr>
        <w:pStyle w:val="Prrafodelista"/>
        <w:numPr>
          <w:ilvl w:val="0"/>
          <w:numId w:val="14"/>
        </w:numPr>
        <w:spacing w:line="276" w:lineRule="auto"/>
        <w:jc w:val="both"/>
        <w:rPr>
          <w:rFonts w:ascii="Arial" w:hAnsi="Arial" w:cs="Arial"/>
          <w:lang w:val="es-CR"/>
        </w:rPr>
      </w:pPr>
      <w:r w:rsidRPr="00D05719">
        <w:rPr>
          <w:rFonts w:ascii="Arial" w:hAnsi="Arial" w:cs="Arial"/>
          <w:lang w:val="es-CR"/>
        </w:rPr>
        <w:t>Por cada por ciento o fracción sobre el factor combinado del 12,5% se castigará el precio en dos por ciento o fracción del precio de calidad “A”.</w:t>
      </w:r>
    </w:p>
    <w:p w:rsidR="00D93FD5" w:rsidRPr="00D05719" w:rsidRDefault="00D93FD5" w:rsidP="00D93FD5">
      <w:pPr>
        <w:pStyle w:val="Sinespaciado"/>
        <w:rPr>
          <w:lang w:val="es-CR"/>
        </w:rPr>
      </w:pPr>
    </w:p>
    <w:p w:rsidR="00D93FD5" w:rsidRPr="00864455" w:rsidRDefault="00D93FD5" w:rsidP="00D93FD5">
      <w:pPr>
        <w:pStyle w:val="Prrafodelista"/>
        <w:numPr>
          <w:ilvl w:val="0"/>
          <w:numId w:val="14"/>
        </w:numPr>
        <w:spacing w:line="276" w:lineRule="auto"/>
        <w:jc w:val="both"/>
        <w:rPr>
          <w:rFonts w:ascii="Arial" w:hAnsi="Arial" w:cs="Arial"/>
          <w:lang w:val="es-CR"/>
        </w:rPr>
      </w:pPr>
      <w:r w:rsidRPr="00D05719">
        <w:rPr>
          <w:rFonts w:ascii="Arial" w:hAnsi="Arial" w:cs="Arial"/>
          <w:lang w:val="es-CR"/>
        </w:rPr>
        <w:t xml:space="preserve">Por el primer por ciento o fracción bajo 7,0% de fruta suelta, se castigará el precio de la fruta en racimos en un 1,0% o fracción del precio de calidad “A”. </w:t>
      </w:r>
    </w:p>
    <w:p w:rsidR="00D93FD5" w:rsidRPr="00864455" w:rsidRDefault="00D93FD5" w:rsidP="00D93FD5">
      <w:pPr>
        <w:pStyle w:val="Prrafodelista"/>
        <w:numPr>
          <w:ilvl w:val="0"/>
          <w:numId w:val="14"/>
        </w:numPr>
        <w:spacing w:line="276" w:lineRule="auto"/>
        <w:jc w:val="both"/>
        <w:rPr>
          <w:rFonts w:ascii="Arial" w:hAnsi="Arial" w:cs="Arial"/>
          <w:lang w:val="es-CR"/>
        </w:rPr>
      </w:pPr>
      <w:r w:rsidRPr="00D05719">
        <w:rPr>
          <w:rFonts w:ascii="Arial" w:hAnsi="Arial" w:cs="Arial"/>
          <w:lang w:val="es-CR"/>
        </w:rPr>
        <w:t>Por entregas bajo 6,0% y hasta 5,0% se castigará un 2,0% adicional o fracción del precio.</w:t>
      </w:r>
    </w:p>
    <w:p w:rsidR="00D93FD5" w:rsidRPr="00864455" w:rsidRDefault="00D93FD5" w:rsidP="00D93FD5">
      <w:pPr>
        <w:pStyle w:val="Prrafodelista"/>
        <w:numPr>
          <w:ilvl w:val="0"/>
          <w:numId w:val="14"/>
        </w:numPr>
        <w:spacing w:line="276" w:lineRule="auto"/>
        <w:jc w:val="both"/>
        <w:rPr>
          <w:rFonts w:ascii="Arial" w:hAnsi="Arial" w:cs="Arial"/>
          <w:lang w:val="es-CR"/>
        </w:rPr>
      </w:pPr>
      <w:r w:rsidRPr="00D05719">
        <w:rPr>
          <w:rFonts w:ascii="Arial" w:hAnsi="Arial" w:cs="Arial"/>
          <w:lang w:val="es-CR"/>
        </w:rPr>
        <w:t>Por entregas bajo 5,0% y hasta 4,0% se castigará un 3,0% o fracción del precio.</w:t>
      </w:r>
    </w:p>
    <w:p w:rsidR="00D93FD5" w:rsidRPr="00D05719" w:rsidRDefault="00D93FD5" w:rsidP="00D93FD5">
      <w:pPr>
        <w:pStyle w:val="Prrafodelista"/>
        <w:numPr>
          <w:ilvl w:val="0"/>
          <w:numId w:val="14"/>
        </w:numPr>
        <w:spacing w:line="276" w:lineRule="auto"/>
        <w:jc w:val="both"/>
        <w:rPr>
          <w:rFonts w:ascii="Arial" w:hAnsi="Arial" w:cs="Arial"/>
          <w:lang w:val="es-CR"/>
        </w:rPr>
      </w:pPr>
      <w:r w:rsidRPr="00D05719">
        <w:rPr>
          <w:rFonts w:ascii="Arial" w:hAnsi="Arial" w:cs="Arial"/>
          <w:lang w:val="es-CR"/>
        </w:rPr>
        <w:lastRenderedPageBreak/>
        <w:t>Por entregas bajo 4,0% y hasta 3,0% se castigará un 3,0% o fracción del precio hasta llegar a un descuento máximo del 9,0% del precio en forma acumulada.</w:t>
      </w:r>
    </w:p>
    <w:p w:rsidR="00D93FD5" w:rsidRPr="00D05719" w:rsidRDefault="00D93FD5" w:rsidP="00D93FD5">
      <w:pPr>
        <w:pStyle w:val="Sinespaciado"/>
        <w:rPr>
          <w:lang w:val="es-CR"/>
        </w:rPr>
      </w:pPr>
    </w:p>
    <w:p w:rsidR="00D93FD5" w:rsidRPr="00D05719" w:rsidRDefault="00D93FD5" w:rsidP="00D93FD5">
      <w:pPr>
        <w:spacing w:line="276" w:lineRule="auto"/>
        <w:jc w:val="both"/>
        <w:rPr>
          <w:rFonts w:ascii="Arial" w:hAnsi="Arial" w:cs="Arial"/>
          <w:lang w:val="es-CR"/>
        </w:rPr>
      </w:pPr>
      <w:r w:rsidRPr="00D05719">
        <w:rPr>
          <w:rFonts w:ascii="Arial" w:hAnsi="Arial" w:cs="Arial"/>
          <w:lang w:val="es-CR"/>
        </w:rPr>
        <w:t>Para calificar la fruta en racimos con calidad bonificada, el productor en forma diaria deberá entregar un mínimo de 7,0% de fruta suelta y un factor de racimos combinado máximo de 7,5%.</w:t>
      </w:r>
    </w:p>
    <w:p w:rsidR="00D93FD5" w:rsidRPr="00D05719" w:rsidRDefault="00D93FD5" w:rsidP="00D93FD5">
      <w:pPr>
        <w:spacing w:line="276" w:lineRule="auto"/>
        <w:rPr>
          <w:rFonts w:ascii="Arial" w:hAnsi="Arial" w:cs="Arial"/>
          <w:lang w:val="es-CR"/>
        </w:rPr>
      </w:pPr>
    </w:p>
    <w:p w:rsidR="00D93FD5" w:rsidRPr="00D05719" w:rsidRDefault="00D51AD8" w:rsidP="00D93FD5">
      <w:pPr>
        <w:spacing w:line="276" w:lineRule="auto"/>
        <w:rPr>
          <w:rFonts w:ascii="Arial" w:hAnsi="Arial" w:cs="Arial"/>
          <w:lang w:val="es-CR"/>
        </w:rPr>
      </w:pPr>
      <w:r w:rsidRPr="00D05719">
        <w:rPr>
          <w:rFonts w:ascii="Arial" w:hAnsi="Arial" w:cs="Arial"/>
          <w:lang w:val="es-CR"/>
        </w:rPr>
        <w:t>Además,</w:t>
      </w:r>
      <w:r w:rsidR="00D93FD5" w:rsidRPr="00D05719">
        <w:rPr>
          <w:rFonts w:ascii="Arial" w:hAnsi="Arial" w:cs="Arial"/>
          <w:lang w:val="es-CR"/>
        </w:rPr>
        <w:t xml:space="preserve"> para calificar la fruta en racimos como bonificada no puede excederse en forma individual los racimos sobre maduros en más de 5,0% y los verdes en 2,0%. De excederse en estos parámetros la fruta en racimos se calificará como calidad “A”.</w:t>
      </w:r>
    </w:p>
    <w:p w:rsidR="00D93FD5" w:rsidRPr="00D05719" w:rsidRDefault="00D93FD5" w:rsidP="00D93FD5">
      <w:pPr>
        <w:spacing w:line="276" w:lineRule="auto"/>
        <w:rPr>
          <w:rFonts w:ascii="Arial" w:hAnsi="Arial" w:cs="Arial"/>
          <w:lang w:val="es-CR"/>
        </w:rPr>
      </w:pPr>
    </w:p>
    <w:p w:rsidR="00D93FD5" w:rsidRPr="00D05719" w:rsidRDefault="00D93FD5" w:rsidP="00D51AD8">
      <w:pPr>
        <w:spacing w:line="276" w:lineRule="auto"/>
        <w:jc w:val="both"/>
        <w:rPr>
          <w:rFonts w:ascii="Arial" w:hAnsi="Arial" w:cs="Arial"/>
          <w:lang w:val="es-CR"/>
        </w:rPr>
      </w:pPr>
      <w:r w:rsidRPr="00D05719">
        <w:rPr>
          <w:rFonts w:ascii="Arial" w:hAnsi="Arial" w:cs="Arial"/>
          <w:lang w:val="es-CR"/>
        </w:rPr>
        <w:t>Con respecto a la evaluación de la calidad y pago, la industria aplica los siguientes criterios:</w:t>
      </w:r>
    </w:p>
    <w:p w:rsidR="00D93FD5" w:rsidRPr="00D05719" w:rsidRDefault="00D93FD5" w:rsidP="00D93FD5">
      <w:pPr>
        <w:spacing w:line="276" w:lineRule="auto"/>
        <w:rPr>
          <w:rFonts w:ascii="Arial" w:hAnsi="Arial" w:cs="Arial"/>
          <w:lang w:val="es-CR"/>
        </w:rPr>
      </w:pPr>
    </w:p>
    <w:p w:rsidR="00D93FD5" w:rsidRPr="00D05719" w:rsidRDefault="00D93FD5" w:rsidP="00D93FD5">
      <w:pPr>
        <w:pStyle w:val="Prrafodelista"/>
        <w:numPr>
          <w:ilvl w:val="0"/>
          <w:numId w:val="15"/>
        </w:numPr>
        <w:spacing w:line="276" w:lineRule="auto"/>
        <w:jc w:val="both"/>
        <w:rPr>
          <w:rFonts w:ascii="Arial" w:hAnsi="Arial" w:cs="Arial"/>
          <w:lang w:val="es-CR"/>
        </w:rPr>
      </w:pPr>
      <w:r w:rsidRPr="00D05719">
        <w:rPr>
          <w:rFonts w:ascii="Arial" w:hAnsi="Arial" w:cs="Arial"/>
          <w:lang w:val="es-CR"/>
        </w:rPr>
        <w:t>Para efectuar la evaluación de los racimos para el factor de racimos combinado (fruta sobre madura, fruta pasada y pinzote largo) la industria tiene un periodo máximo de seis horas desde que da aviso de llegada la unidad de transporte del palmicultor, luego de dicho periodo sólo se califica la fruta verde y el pinzote largo.</w:t>
      </w:r>
    </w:p>
    <w:p w:rsidR="00D93FD5" w:rsidRPr="00D05719" w:rsidRDefault="00D93FD5" w:rsidP="00D93FD5">
      <w:pPr>
        <w:pStyle w:val="Prrafodelista"/>
        <w:numPr>
          <w:ilvl w:val="0"/>
          <w:numId w:val="15"/>
        </w:numPr>
        <w:spacing w:line="276" w:lineRule="auto"/>
        <w:jc w:val="both"/>
        <w:rPr>
          <w:rFonts w:ascii="Arial" w:hAnsi="Arial" w:cs="Arial"/>
          <w:lang w:val="es-CR"/>
        </w:rPr>
      </w:pPr>
      <w:r w:rsidRPr="00D05719">
        <w:rPr>
          <w:rFonts w:ascii="Arial" w:hAnsi="Arial" w:cs="Arial"/>
          <w:lang w:val="es-CR"/>
        </w:rPr>
        <w:t>El precio de compra no es inferior a un 90%, en los casos que la fruta no califique como calidad “A”.</w:t>
      </w:r>
    </w:p>
    <w:p w:rsidR="00D93FD5" w:rsidRPr="00D05719" w:rsidRDefault="00D93FD5" w:rsidP="00D93FD5">
      <w:pPr>
        <w:pStyle w:val="Prrafodelista"/>
        <w:numPr>
          <w:ilvl w:val="0"/>
          <w:numId w:val="15"/>
        </w:numPr>
        <w:spacing w:line="276" w:lineRule="auto"/>
        <w:jc w:val="both"/>
        <w:rPr>
          <w:rFonts w:ascii="Arial" w:hAnsi="Arial" w:cs="Arial"/>
          <w:lang w:val="es-CR"/>
        </w:rPr>
      </w:pPr>
      <w:r w:rsidRPr="00D05719">
        <w:rPr>
          <w:rFonts w:ascii="Arial" w:hAnsi="Arial" w:cs="Arial"/>
          <w:lang w:val="es-CR"/>
        </w:rPr>
        <w:t>La industria de manera discrecional decide si acepta o no la fruta en racimo que exceda un 17,5% su factor de racimos combinados, o un 10,0% en fruta verde o que la fruta suelta exceda un 10,0% de acidez.</w:t>
      </w:r>
    </w:p>
    <w:p w:rsidR="00D93FD5" w:rsidRDefault="00D93FD5" w:rsidP="00D93FD5">
      <w:pPr>
        <w:pStyle w:val="Prrafodelista"/>
        <w:numPr>
          <w:ilvl w:val="0"/>
          <w:numId w:val="15"/>
        </w:numPr>
        <w:spacing w:line="276" w:lineRule="auto"/>
        <w:jc w:val="both"/>
        <w:rPr>
          <w:rFonts w:ascii="Arial" w:hAnsi="Arial" w:cs="Arial"/>
          <w:lang w:val="es-CR"/>
        </w:rPr>
      </w:pPr>
      <w:r w:rsidRPr="00D05719">
        <w:rPr>
          <w:rFonts w:ascii="Arial" w:hAnsi="Arial" w:cs="Arial"/>
          <w:lang w:val="es-CR"/>
        </w:rPr>
        <w:t xml:space="preserve">La industria extiende un comprobante de calidad en donde resume las entregas del día. </w:t>
      </w:r>
    </w:p>
    <w:p w:rsidR="00D93FD5" w:rsidRPr="00864455" w:rsidRDefault="00D93FD5" w:rsidP="00D93FD5">
      <w:pPr>
        <w:pStyle w:val="Prrafodelista"/>
        <w:spacing w:line="276" w:lineRule="auto"/>
        <w:jc w:val="both"/>
        <w:rPr>
          <w:rFonts w:ascii="Arial" w:hAnsi="Arial" w:cs="Arial"/>
          <w:lang w:val="es-CR"/>
        </w:rPr>
      </w:pPr>
    </w:p>
    <w:p w:rsidR="00D93FD5" w:rsidRPr="005825BD" w:rsidRDefault="00D93FD5" w:rsidP="00D93FD5">
      <w:pPr>
        <w:spacing w:line="276" w:lineRule="auto"/>
        <w:jc w:val="both"/>
        <w:rPr>
          <w:rFonts w:ascii="Arial" w:hAnsi="Arial" w:cs="Arial"/>
          <w:lang w:val="es-CR"/>
        </w:rPr>
      </w:pPr>
      <w:r>
        <w:rPr>
          <w:rFonts w:ascii="Arial" w:hAnsi="Arial" w:cs="Arial"/>
          <w:lang w:val="es-CR"/>
        </w:rPr>
        <w:t xml:space="preserve">A partir de marzo del 2017 se modificó se paga un 15% del precio </w:t>
      </w:r>
      <w:r w:rsidRPr="005825BD">
        <w:rPr>
          <w:rFonts w:ascii="Arial" w:hAnsi="Arial" w:cs="Arial"/>
          <w:lang w:val="es-CR"/>
        </w:rPr>
        <w:t>del Aceite Crudo de Palma (ACP) según lo publica</w:t>
      </w:r>
      <w:r>
        <w:rPr>
          <w:rFonts w:ascii="Arial" w:hAnsi="Arial" w:cs="Arial"/>
          <w:lang w:val="es-CR"/>
        </w:rPr>
        <w:t xml:space="preserve"> Oil World para el mes en curso, en este caso es para </w:t>
      </w:r>
      <w:r w:rsidRPr="005825BD">
        <w:rPr>
          <w:rFonts w:ascii="Arial" w:hAnsi="Arial" w:cs="Arial"/>
          <w:lang w:val="es-CR"/>
        </w:rPr>
        <w:t xml:space="preserve">fruta proveniente de productores certificados </w:t>
      </w:r>
      <w:r w:rsidR="009F5196">
        <w:rPr>
          <w:rFonts w:ascii="Arial" w:hAnsi="Arial" w:cs="Arial"/>
          <w:lang w:val="es-CR"/>
        </w:rPr>
        <w:t xml:space="preserve">mediante </w:t>
      </w:r>
      <w:r w:rsidR="00BA3AA4" w:rsidRPr="00BA3AA4">
        <w:rPr>
          <w:rFonts w:ascii="Arial" w:hAnsi="Arial" w:cs="Arial"/>
          <w:lang w:val="es-CR"/>
        </w:rPr>
        <w:t>Roundtable on Sustainable Palm Oil</w:t>
      </w:r>
      <w:r w:rsidR="00BA3AA4">
        <w:rPr>
          <w:rFonts w:ascii="Arial" w:hAnsi="Arial" w:cs="Arial"/>
          <w:lang w:val="es-CR"/>
        </w:rPr>
        <w:t xml:space="preserve"> (</w:t>
      </w:r>
      <w:r w:rsidRPr="005825BD">
        <w:rPr>
          <w:rFonts w:ascii="Arial" w:hAnsi="Arial" w:cs="Arial"/>
          <w:lang w:val="es-CR"/>
        </w:rPr>
        <w:t>RSPO</w:t>
      </w:r>
      <w:r w:rsidR="00BA3AA4">
        <w:rPr>
          <w:rFonts w:ascii="Arial" w:hAnsi="Arial" w:cs="Arial"/>
          <w:lang w:val="es-CR"/>
        </w:rPr>
        <w:t>)</w:t>
      </w:r>
      <w:r w:rsidRPr="005825BD">
        <w:rPr>
          <w:rFonts w:ascii="Arial" w:hAnsi="Arial" w:cs="Arial"/>
          <w:lang w:val="es-CR"/>
        </w:rPr>
        <w:t xml:space="preserve">.  </w:t>
      </w:r>
      <w:r>
        <w:rPr>
          <w:rFonts w:ascii="Arial" w:hAnsi="Arial" w:cs="Arial"/>
          <w:lang w:val="es-CR"/>
        </w:rPr>
        <w:t xml:space="preserve">Por su parte </w:t>
      </w:r>
      <w:r w:rsidRPr="005825BD">
        <w:rPr>
          <w:rFonts w:ascii="Arial" w:hAnsi="Arial" w:cs="Arial"/>
          <w:lang w:val="es-CR"/>
        </w:rPr>
        <w:t>el productor no está certificado se le deduce $2.50 por tonelada de fruta.</w:t>
      </w:r>
      <w:r>
        <w:rPr>
          <w:rFonts w:ascii="Arial" w:hAnsi="Arial" w:cs="Arial"/>
          <w:lang w:val="es-CR"/>
        </w:rPr>
        <w:t xml:space="preserve"> Es importante aclarar que las </w:t>
      </w:r>
      <w:r w:rsidRPr="005825BD">
        <w:rPr>
          <w:rFonts w:ascii="Arial" w:hAnsi="Arial" w:cs="Arial"/>
        </w:rPr>
        <w:t xml:space="preserve">condiciones de calidad son básicamente </w:t>
      </w:r>
      <w:r w:rsidR="003246A0">
        <w:rPr>
          <w:rFonts w:ascii="Arial" w:hAnsi="Arial" w:cs="Arial"/>
        </w:rPr>
        <w:t>las citas anteriormente.</w:t>
      </w:r>
    </w:p>
    <w:p w:rsidR="00D93FD5" w:rsidRPr="001E4A40" w:rsidRDefault="00D93FD5" w:rsidP="00D93FD5">
      <w:pPr>
        <w:rPr>
          <w:highlight w:val="yellow"/>
          <w:lang w:val="es-CR"/>
        </w:rPr>
      </w:pPr>
    </w:p>
    <w:p w:rsidR="00D93FD5" w:rsidRPr="00D51AD8" w:rsidRDefault="00D93FD5" w:rsidP="00D51AD8">
      <w:pPr>
        <w:pStyle w:val="Ttulo3"/>
        <w:rPr>
          <w:sz w:val="28"/>
          <w:szCs w:val="28"/>
          <w:lang w:val="es-CR"/>
        </w:rPr>
      </w:pPr>
      <w:bookmarkStart w:id="71" w:name="_Toc455042967"/>
      <w:bookmarkStart w:id="72" w:name="_Toc477265129"/>
      <w:bookmarkStart w:id="73" w:name="_Toc35512608"/>
      <w:bookmarkStart w:id="74" w:name="_Toc63666215"/>
      <w:r w:rsidRPr="00D51AD8">
        <w:rPr>
          <w:sz w:val="28"/>
          <w:szCs w:val="28"/>
          <w:lang w:val="es-CR"/>
        </w:rPr>
        <w:lastRenderedPageBreak/>
        <w:t>C</w:t>
      </w:r>
      <w:bookmarkEnd w:id="71"/>
      <w:bookmarkEnd w:id="72"/>
      <w:r w:rsidRPr="00D51AD8">
        <w:rPr>
          <w:sz w:val="28"/>
          <w:szCs w:val="28"/>
          <w:lang w:val="es-CR"/>
        </w:rPr>
        <w:t>oopeagropal</w:t>
      </w:r>
      <w:bookmarkEnd w:id="73"/>
      <w:bookmarkEnd w:id="74"/>
      <w:r w:rsidRPr="00D51AD8">
        <w:rPr>
          <w:sz w:val="28"/>
          <w:szCs w:val="28"/>
          <w:lang w:val="es-CR"/>
        </w:rPr>
        <w:t xml:space="preserve"> </w:t>
      </w:r>
    </w:p>
    <w:p w:rsidR="00D93FD5" w:rsidRDefault="00D93FD5" w:rsidP="00D93FD5">
      <w:pPr>
        <w:rPr>
          <w:lang w:val="es-CR"/>
        </w:rPr>
      </w:pPr>
    </w:p>
    <w:p w:rsidR="00D93FD5" w:rsidRPr="004767AB" w:rsidRDefault="00D93FD5" w:rsidP="00D93FD5">
      <w:pPr>
        <w:spacing w:line="276" w:lineRule="auto"/>
        <w:jc w:val="both"/>
        <w:rPr>
          <w:rFonts w:ascii="Arial" w:hAnsi="Arial" w:cs="Arial"/>
          <w:lang w:val="es-CR"/>
        </w:rPr>
      </w:pPr>
      <w:r>
        <w:rPr>
          <w:rFonts w:ascii="Arial" w:hAnsi="Arial" w:cs="Arial"/>
          <w:lang w:val="es-CR"/>
        </w:rPr>
        <w:t>El procedimiento que utiliza esta industria para calcular el precio de la fruta es diferente al utilizado por la industria anterior.  El precio base es un porcentaje aprobado mediante acuerdo del Consejo de Administración, tomando el precio promedio CIF Rotterdam de la tonelada de aceite crudo del mes</w:t>
      </w:r>
      <w:r w:rsidR="00255753">
        <w:rPr>
          <w:rFonts w:ascii="Arial" w:hAnsi="Arial" w:cs="Arial"/>
          <w:lang w:val="es-CR"/>
        </w:rPr>
        <w:t>, donde actualmente es 15,5% del precio internacional</w:t>
      </w:r>
      <w:r>
        <w:rPr>
          <w:rFonts w:ascii="Arial" w:hAnsi="Arial" w:cs="Arial"/>
          <w:lang w:val="es-CR"/>
        </w:rPr>
        <w:t xml:space="preserve">.  </w:t>
      </w:r>
    </w:p>
    <w:p w:rsidR="00D93FD5" w:rsidRDefault="00D93FD5" w:rsidP="00D93FD5">
      <w:pPr>
        <w:pStyle w:val="Sinespaciado"/>
        <w:rPr>
          <w:lang w:val="es-CR"/>
        </w:rPr>
      </w:pPr>
    </w:p>
    <w:p w:rsidR="00D93FD5" w:rsidRDefault="00D93FD5" w:rsidP="00D93FD5">
      <w:pPr>
        <w:spacing w:line="276" w:lineRule="auto"/>
        <w:jc w:val="both"/>
        <w:rPr>
          <w:rFonts w:ascii="Arial" w:hAnsi="Arial" w:cs="Arial"/>
          <w:lang w:val="es-CR"/>
        </w:rPr>
      </w:pPr>
      <w:r>
        <w:rPr>
          <w:rFonts w:ascii="Arial" w:hAnsi="Arial" w:cs="Arial"/>
          <w:lang w:val="es-CR"/>
        </w:rPr>
        <w:t>El cálculo del precio está definido por la calidad de la fruta entregada por el productor y tiene cuatro componentes: dos que incrementan el precio base (premios) y dos que disminuyen el precio base (descuentos)</w:t>
      </w:r>
    </w:p>
    <w:p w:rsidR="00D93FD5" w:rsidRDefault="00D93FD5" w:rsidP="00D93FD5">
      <w:pPr>
        <w:pStyle w:val="Sinespaciado"/>
        <w:rPr>
          <w:lang w:val="es-CR"/>
        </w:rPr>
      </w:pPr>
    </w:p>
    <w:p w:rsidR="00D93FD5" w:rsidRDefault="00D93FD5" w:rsidP="00D93FD5">
      <w:pPr>
        <w:pStyle w:val="Ttulo3"/>
        <w:spacing w:line="276" w:lineRule="auto"/>
        <w:rPr>
          <w:rFonts w:ascii="Arial" w:hAnsi="Arial" w:cs="Arial"/>
          <w:lang w:val="es-CR"/>
        </w:rPr>
      </w:pPr>
      <w:bookmarkStart w:id="75" w:name="_Toc35512609"/>
      <w:bookmarkStart w:id="76" w:name="_Toc63666216"/>
      <w:r>
        <w:rPr>
          <w:rFonts w:ascii="Arial" w:hAnsi="Arial" w:cs="Arial"/>
          <w:lang w:val="es-CR"/>
        </w:rPr>
        <w:t>Premios</w:t>
      </w:r>
      <w:bookmarkEnd w:id="75"/>
      <w:bookmarkEnd w:id="76"/>
    </w:p>
    <w:p w:rsidR="00D93FD5" w:rsidRDefault="00D93FD5" w:rsidP="00D93FD5">
      <w:pPr>
        <w:pStyle w:val="Sinespaciado"/>
        <w:rPr>
          <w:lang w:val="es-CR"/>
        </w:rPr>
      </w:pPr>
    </w:p>
    <w:p w:rsidR="00D93FD5" w:rsidRDefault="00D93FD5" w:rsidP="00D93FD5">
      <w:pPr>
        <w:spacing w:line="276" w:lineRule="auto"/>
        <w:jc w:val="both"/>
        <w:rPr>
          <w:rFonts w:ascii="Arial" w:hAnsi="Arial" w:cs="Arial"/>
          <w:lang w:val="es-CR"/>
        </w:rPr>
      </w:pPr>
      <w:r>
        <w:rPr>
          <w:rFonts w:ascii="Arial" w:hAnsi="Arial" w:cs="Arial"/>
          <w:lang w:val="es-CR"/>
        </w:rPr>
        <w:t xml:space="preserve">El primer componente de premios está relacionado a la cantidad de coyol entregado en </w:t>
      </w:r>
      <w:r w:rsidR="003246A0">
        <w:rPr>
          <w:rFonts w:ascii="Arial" w:hAnsi="Arial" w:cs="Arial"/>
          <w:lang w:val="es-CR"/>
        </w:rPr>
        <w:t>el caso</w:t>
      </w:r>
      <w:r>
        <w:rPr>
          <w:rFonts w:ascii="Arial" w:hAnsi="Arial" w:cs="Arial"/>
          <w:lang w:val="es-CR"/>
        </w:rPr>
        <w:t xml:space="preserve"> de los asociados corresponde a un 6% sobre el precio base del CIF Rotterdam, para un productor independiente se </w:t>
      </w:r>
      <w:r w:rsidR="00255753">
        <w:rPr>
          <w:rFonts w:ascii="Arial" w:hAnsi="Arial" w:cs="Arial"/>
          <w:lang w:val="es-CR"/>
        </w:rPr>
        <w:t>fija un</w:t>
      </w:r>
      <w:r>
        <w:rPr>
          <w:rFonts w:ascii="Arial" w:hAnsi="Arial" w:cs="Arial"/>
          <w:lang w:val="es-CR"/>
        </w:rPr>
        <w:t xml:space="preserve"> 2% sobre el precio base del CIF Rotterdam.</w:t>
      </w:r>
    </w:p>
    <w:p w:rsidR="00D93FD5" w:rsidRDefault="00D93FD5" w:rsidP="00D93FD5">
      <w:pPr>
        <w:spacing w:line="276" w:lineRule="auto"/>
        <w:jc w:val="both"/>
        <w:rPr>
          <w:rFonts w:ascii="Arial" w:hAnsi="Arial" w:cs="Arial"/>
          <w:lang w:val="es-CR"/>
        </w:rPr>
      </w:pPr>
    </w:p>
    <w:p w:rsidR="00D93FD5" w:rsidRDefault="00D93FD5" w:rsidP="00D93FD5">
      <w:pPr>
        <w:spacing w:line="276" w:lineRule="auto"/>
        <w:jc w:val="both"/>
        <w:rPr>
          <w:rFonts w:ascii="Arial" w:hAnsi="Arial" w:cs="Arial"/>
          <w:lang w:val="es-CR"/>
        </w:rPr>
      </w:pPr>
      <w:r>
        <w:rPr>
          <w:rFonts w:ascii="Arial" w:hAnsi="Arial" w:cs="Arial"/>
          <w:lang w:val="es-CR"/>
        </w:rPr>
        <w:t>El segundo componente corresponde al premio por la calidad de la fruta o también denominado factor combinado. En este caso el premio a la calidad de la fruta entregada será para el caso de los asociados un 6% sobre el precio base CIF Rotterdam, en el caso de un productor independiente se pagará un 2% sobre el precio base CIF Rotterdam.</w:t>
      </w:r>
    </w:p>
    <w:p w:rsidR="00D93FD5" w:rsidRDefault="00D93FD5" w:rsidP="00D93FD5">
      <w:pPr>
        <w:pStyle w:val="Sinespaciado"/>
        <w:rPr>
          <w:lang w:val="es-CR"/>
        </w:rPr>
      </w:pPr>
    </w:p>
    <w:p w:rsidR="00D93FD5" w:rsidRDefault="00D93FD5" w:rsidP="00D93FD5">
      <w:pPr>
        <w:pStyle w:val="Ttulo3"/>
        <w:spacing w:line="276" w:lineRule="auto"/>
        <w:rPr>
          <w:rFonts w:ascii="Arial" w:hAnsi="Arial" w:cs="Arial"/>
          <w:lang w:val="es-CR"/>
        </w:rPr>
      </w:pPr>
      <w:bookmarkStart w:id="77" w:name="_Toc35512610"/>
      <w:bookmarkStart w:id="78" w:name="_Toc63666217"/>
      <w:r>
        <w:rPr>
          <w:rFonts w:ascii="Arial" w:hAnsi="Arial" w:cs="Arial"/>
          <w:lang w:val="es-CR"/>
        </w:rPr>
        <w:t>Descuentos</w:t>
      </w:r>
      <w:bookmarkEnd w:id="77"/>
      <w:bookmarkEnd w:id="78"/>
      <w:r>
        <w:rPr>
          <w:rFonts w:ascii="Arial" w:hAnsi="Arial" w:cs="Arial"/>
          <w:lang w:val="es-CR"/>
        </w:rPr>
        <w:t xml:space="preserve"> </w:t>
      </w:r>
    </w:p>
    <w:p w:rsidR="00D93FD5" w:rsidRDefault="00D93FD5" w:rsidP="00D93FD5">
      <w:pPr>
        <w:pStyle w:val="Sinespaciado"/>
        <w:rPr>
          <w:highlight w:val="yellow"/>
          <w:lang w:val="es-CR"/>
        </w:rPr>
      </w:pPr>
    </w:p>
    <w:p w:rsidR="00D93FD5" w:rsidRDefault="00D93FD5" w:rsidP="00D93FD5">
      <w:pPr>
        <w:spacing w:line="276" w:lineRule="auto"/>
        <w:jc w:val="both"/>
        <w:rPr>
          <w:rFonts w:ascii="Arial" w:hAnsi="Arial" w:cs="Arial"/>
          <w:lang w:val="es-CR"/>
        </w:rPr>
      </w:pPr>
      <w:r w:rsidRPr="00D6530C">
        <w:rPr>
          <w:rFonts w:ascii="Arial" w:hAnsi="Arial" w:cs="Arial"/>
          <w:lang w:val="es-CR"/>
        </w:rPr>
        <w:t>El descuento</w:t>
      </w:r>
      <w:r>
        <w:rPr>
          <w:rFonts w:ascii="Arial" w:hAnsi="Arial" w:cs="Arial"/>
          <w:lang w:val="es-CR"/>
        </w:rPr>
        <w:t xml:space="preserve"> relacionado al porcentaje de coyol entregado será para ambos casos tanto asociados como independientes de un 5% del precio base CIF Rotterdam y se aplica de manera proporcional cuando el porcentaje de coyol entregado sea menor al 5%.</w:t>
      </w:r>
    </w:p>
    <w:p w:rsidR="00D93FD5" w:rsidRDefault="00D93FD5" w:rsidP="00D93FD5">
      <w:pPr>
        <w:spacing w:line="276" w:lineRule="auto"/>
        <w:jc w:val="both"/>
        <w:rPr>
          <w:rFonts w:ascii="Arial" w:hAnsi="Arial" w:cs="Arial"/>
          <w:lang w:val="es-CR"/>
        </w:rPr>
      </w:pPr>
      <w:r>
        <w:rPr>
          <w:rFonts w:ascii="Arial" w:hAnsi="Arial" w:cs="Arial"/>
          <w:lang w:val="es-CR"/>
        </w:rPr>
        <w:t>En el caso del descuento por la calidad de la fruta o también llamado factor combinado, en este caso no hay diferenciación para la condición de asociado e independiente por lo que el método es el mismo en ambos casos.</w:t>
      </w:r>
    </w:p>
    <w:p w:rsidR="00D93FD5" w:rsidRDefault="00D93FD5" w:rsidP="00D93FD5">
      <w:pPr>
        <w:pStyle w:val="Sinespaciado"/>
        <w:rPr>
          <w:lang w:val="es-CR"/>
        </w:rPr>
      </w:pPr>
    </w:p>
    <w:p w:rsidR="00D93FD5" w:rsidRDefault="00D93FD5" w:rsidP="00D93FD5">
      <w:pPr>
        <w:spacing w:line="276" w:lineRule="auto"/>
        <w:jc w:val="both"/>
        <w:rPr>
          <w:rFonts w:ascii="Arial" w:hAnsi="Arial" w:cs="Arial"/>
          <w:lang w:val="es-CR"/>
        </w:rPr>
      </w:pPr>
      <w:r>
        <w:rPr>
          <w:rFonts w:ascii="Arial" w:hAnsi="Arial" w:cs="Arial"/>
          <w:lang w:val="es-CR"/>
        </w:rPr>
        <w:t xml:space="preserve">En el siguiente cuadro se muestra el modelo de pago utilizado por Coopeagropal </w:t>
      </w:r>
    </w:p>
    <w:p w:rsidR="00D93FD5" w:rsidRDefault="00D93FD5" w:rsidP="00D93FD5">
      <w:pPr>
        <w:pStyle w:val="Sinespaciado"/>
        <w:rPr>
          <w:highlight w:val="yellow"/>
          <w:lang w:val="es-CR"/>
        </w:rPr>
      </w:pPr>
    </w:p>
    <w:p w:rsidR="00D51AD8" w:rsidRDefault="00D51AD8" w:rsidP="00D93FD5">
      <w:pPr>
        <w:pStyle w:val="Descripcin"/>
        <w:rPr>
          <w:rFonts w:ascii="Arial" w:hAnsi="Arial" w:cs="Arial"/>
          <w:sz w:val="24"/>
          <w:szCs w:val="24"/>
          <w:lang w:val="es-CR"/>
        </w:rPr>
      </w:pPr>
      <w:bookmarkStart w:id="79" w:name="_Toc35512632"/>
    </w:p>
    <w:p w:rsidR="00D51AD8" w:rsidRDefault="00D51AD8" w:rsidP="00D93FD5">
      <w:pPr>
        <w:pStyle w:val="Descripcin"/>
        <w:rPr>
          <w:rFonts w:ascii="Arial" w:hAnsi="Arial" w:cs="Arial"/>
          <w:sz w:val="24"/>
          <w:szCs w:val="24"/>
          <w:lang w:val="es-CR"/>
        </w:rPr>
      </w:pPr>
    </w:p>
    <w:p w:rsidR="00D93FD5" w:rsidRDefault="00D93FD5" w:rsidP="00D93FD5">
      <w:pPr>
        <w:pStyle w:val="Descripcin"/>
        <w:rPr>
          <w:rFonts w:ascii="Arial" w:hAnsi="Arial" w:cs="Arial"/>
          <w:sz w:val="24"/>
          <w:szCs w:val="24"/>
          <w:lang w:val="es-CR"/>
        </w:rPr>
      </w:pPr>
      <w:bookmarkStart w:id="80" w:name="_Toc63666237"/>
      <w:r w:rsidRPr="00C137D4">
        <w:rPr>
          <w:rFonts w:ascii="Arial" w:hAnsi="Arial" w:cs="Arial"/>
          <w:sz w:val="24"/>
          <w:szCs w:val="24"/>
          <w:lang w:val="es-CR"/>
        </w:rPr>
        <w:t xml:space="preserve">Cuadro </w:t>
      </w:r>
      <w:r w:rsidRPr="00C137D4">
        <w:rPr>
          <w:rFonts w:ascii="Arial" w:hAnsi="Arial" w:cs="Arial"/>
          <w:sz w:val="24"/>
          <w:szCs w:val="24"/>
          <w:lang w:val="es-CR"/>
        </w:rPr>
        <w:fldChar w:fldCharType="begin"/>
      </w:r>
      <w:r w:rsidRPr="00C137D4">
        <w:rPr>
          <w:rFonts w:ascii="Arial" w:hAnsi="Arial" w:cs="Arial"/>
          <w:sz w:val="24"/>
          <w:szCs w:val="24"/>
          <w:lang w:val="es-CR"/>
        </w:rPr>
        <w:instrText xml:space="preserve"> SEQ Cuadro \* ARABIC </w:instrText>
      </w:r>
      <w:r w:rsidRPr="00C137D4">
        <w:rPr>
          <w:rFonts w:ascii="Arial" w:hAnsi="Arial" w:cs="Arial"/>
          <w:sz w:val="24"/>
          <w:szCs w:val="24"/>
          <w:lang w:val="es-CR"/>
        </w:rPr>
        <w:fldChar w:fldCharType="separate"/>
      </w:r>
      <w:r w:rsidR="00255753">
        <w:rPr>
          <w:rFonts w:ascii="Arial" w:hAnsi="Arial" w:cs="Arial"/>
          <w:noProof/>
          <w:sz w:val="24"/>
          <w:szCs w:val="24"/>
          <w:lang w:val="es-CR"/>
        </w:rPr>
        <w:t>4</w:t>
      </w:r>
      <w:r w:rsidRPr="00C137D4">
        <w:rPr>
          <w:rFonts w:ascii="Arial" w:hAnsi="Arial" w:cs="Arial"/>
          <w:sz w:val="24"/>
          <w:szCs w:val="24"/>
          <w:lang w:val="es-CR"/>
        </w:rPr>
        <w:fldChar w:fldCharType="end"/>
      </w:r>
      <w:r w:rsidRPr="00D05719">
        <w:rPr>
          <w:rFonts w:ascii="Arial" w:hAnsi="Arial" w:cs="Arial"/>
          <w:sz w:val="24"/>
          <w:szCs w:val="24"/>
          <w:lang w:val="es-CR"/>
        </w:rPr>
        <w:t xml:space="preserve">. </w:t>
      </w:r>
      <w:r>
        <w:rPr>
          <w:rFonts w:ascii="Arial" w:hAnsi="Arial" w:cs="Arial"/>
          <w:sz w:val="24"/>
          <w:szCs w:val="24"/>
          <w:lang w:val="es-CR"/>
        </w:rPr>
        <w:t>Modelo de pago de Coopeagropal</w:t>
      </w:r>
      <w:bookmarkEnd w:id="79"/>
      <w:bookmarkEnd w:id="80"/>
    </w:p>
    <w:p w:rsidR="00D93FD5" w:rsidRPr="00864455" w:rsidRDefault="00D93FD5" w:rsidP="00D93FD5">
      <w:pPr>
        <w:pStyle w:val="Sinespaciado"/>
        <w:rPr>
          <w:lang w:val="es-CR"/>
        </w:rPr>
      </w:pPr>
    </w:p>
    <w:tbl>
      <w:tblPr>
        <w:tblW w:w="5000" w:type="pct"/>
        <w:tblCellMar>
          <w:left w:w="70" w:type="dxa"/>
          <w:right w:w="70" w:type="dxa"/>
        </w:tblCellMar>
        <w:tblLook w:val="04A0" w:firstRow="1" w:lastRow="0" w:firstColumn="1" w:lastColumn="0" w:noHBand="0" w:noVBand="1"/>
      </w:tblPr>
      <w:tblGrid>
        <w:gridCol w:w="1535"/>
        <w:gridCol w:w="1314"/>
        <w:gridCol w:w="1134"/>
        <w:gridCol w:w="1033"/>
        <w:gridCol w:w="972"/>
        <w:gridCol w:w="1033"/>
        <w:gridCol w:w="1473"/>
      </w:tblGrid>
      <w:tr w:rsidR="00D93FD5" w:rsidRPr="00D6530C" w:rsidTr="009F5196">
        <w:trPr>
          <w:trHeight w:val="675"/>
        </w:trPr>
        <w:tc>
          <w:tcPr>
            <w:tcW w:w="904"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D93FD5" w:rsidRPr="00D6530C" w:rsidRDefault="00D93FD5" w:rsidP="009F5196">
            <w:pPr>
              <w:jc w:val="center"/>
              <w:rPr>
                <w:rFonts w:ascii="Arial" w:hAnsi="Arial" w:cs="Arial"/>
                <w:b/>
                <w:bCs/>
                <w:color w:val="000000"/>
                <w:sz w:val="22"/>
                <w:szCs w:val="22"/>
                <w:lang w:val="es-CR" w:eastAsia="es-CR"/>
              </w:rPr>
            </w:pPr>
            <w:r w:rsidRPr="00D6530C">
              <w:rPr>
                <w:rFonts w:ascii="Arial" w:hAnsi="Arial" w:cs="Arial"/>
                <w:b/>
                <w:bCs/>
                <w:color w:val="000000"/>
                <w:sz w:val="22"/>
                <w:szCs w:val="22"/>
              </w:rPr>
              <w:t>Categoría</w:t>
            </w:r>
          </w:p>
        </w:tc>
        <w:tc>
          <w:tcPr>
            <w:tcW w:w="773"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Base (% CIF Rotterdam)</w:t>
            </w:r>
          </w:p>
        </w:tc>
        <w:tc>
          <w:tcPr>
            <w:tcW w:w="1276" w:type="pct"/>
            <w:gridSpan w:val="2"/>
            <w:tcBorders>
              <w:top w:val="single" w:sz="4" w:space="0" w:color="auto"/>
              <w:left w:val="nil"/>
              <w:bottom w:val="single" w:sz="4" w:space="0" w:color="auto"/>
              <w:right w:val="single" w:sz="4" w:space="0" w:color="auto"/>
            </w:tcBorders>
            <w:shd w:val="clear" w:color="000000" w:fill="BDD7EE"/>
            <w:vAlign w:val="bottom"/>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Bonificación (% del precio base)</w:t>
            </w:r>
          </w:p>
        </w:tc>
        <w:tc>
          <w:tcPr>
            <w:tcW w:w="1180" w:type="pct"/>
            <w:gridSpan w:val="2"/>
            <w:tcBorders>
              <w:top w:val="single" w:sz="4" w:space="0" w:color="auto"/>
              <w:left w:val="nil"/>
              <w:bottom w:val="single" w:sz="4" w:space="0" w:color="auto"/>
              <w:right w:val="single" w:sz="4" w:space="0" w:color="auto"/>
            </w:tcBorders>
            <w:shd w:val="clear" w:color="000000" w:fill="BDD7EE"/>
            <w:vAlign w:val="bottom"/>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Descuento (% del precio base)</w:t>
            </w:r>
          </w:p>
        </w:tc>
        <w:tc>
          <w:tcPr>
            <w:tcW w:w="867"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Certificación (colones)</w:t>
            </w:r>
          </w:p>
        </w:tc>
      </w:tr>
      <w:tr w:rsidR="00D93FD5" w:rsidRPr="00D6530C" w:rsidTr="009F5196">
        <w:trPr>
          <w:trHeight w:val="315"/>
        </w:trPr>
        <w:tc>
          <w:tcPr>
            <w:tcW w:w="904" w:type="pct"/>
            <w:vMerge/>
            <w:tcBorders>
              <w:top w:val="single" w:sz="4" w:space="0" w:color="auto"/>
              <w:left w:val="single" w:sz="4" w:space="0" w:color="auto"/>
              <w:bottom w:val="single" w:sz="4" w:space="0" w:color="auto"/>
              <w:right w:val="single" w:sz="4" w:space="0" w:color="auto"/>
            </w:tcBorders>
            <w:vAlign w:val="center"/>
            <w:hideMark/>
          </w:tcPr>
          <w:p w:rsidR="00D93FD5" w:rsidRPr="00D6530C" w:rsidRDefault="00D93FD5" w:rsidP="009F5196">
            <w:pPr>
              <w:rPr>
                <w:rFonts w:ascii="Arial" w:hAnsi="Arial" w:cs="Arial"/>
                <w:b/>
                <w:bCs/>
                <w:color w:val="000000"/>
                <w:sz w:val="22"/>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93FD5" w:rsidRPr="00D6530C" w:rsidRDefault="00D93FD5" w:rsidP="009F5196">
            <w:pPr>
              <w:rPr>
                <w:rFonts w:ascii="Arial" w:hAnsi="Arial" w:cs="Arial"/>
                <w:b/>
                <w:bCs/>
                <w:color w:val="000000"/>
                <w:sz w:val="22"/>
                <w:szCs w:val="22"/>
              </w:rPr>
            </w:pPr>
          </w:p>
        </w:tc>
        <w:tc>
          <w:tcPr>
            <w:tcW w:w="668" w:type="pct"/>
            <w:tcBorders>
              <w:top w:val="nil"/>
              <w:left w:val="nil"/>
              <w:bottom w:val="single" w:sz="4" w:space="0" w:color="auto"/>
              <w:right w:val="single" w:sz="4" w:space="0" w:color="auto"/>
            </w:tcBorders>
            <w:shd w:val="clear" w:color="000000" w:fill="BDD7EE"/>
            <w:noWrap/>
            <w:vAlign w:val="center"/>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Coyol</w:t>
            </w:r>
          </w:p>
        </w:tc>
        <w:tc>
          <w:tcPr>
            <w:tcW w:w="608" w:type="pct"/>
            <w:tcBorders>
              <w:top w:val="nil"/>
              <w:left w:val="nil"/>
              <w:bottom w:val="single" w:sz="4" w:space="0" w:color="auto"/>
              <w:right w:val="single" w:sz="4" w:space="0" w:color="auto"/>
            </w:tcBorders>
            <w:shd w:val="clear" w:color="000000" w:fill="BDD7EE"/>
            <w:noWrap/>
            <w:vAlign w:val="center"/>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Factor C</w:t>
            </w:r>
          </w:p>
        </w:tc>
        <w:tc>
          <w:tcPr>
            <w:tcW w:w="572" w:type="pct"/>
            <w:tcBorders>
              <w:top w:val="nil"/>
              <w:left w:val="nil"/>
              <w:bottom w:val="single" w:sz="4" w:space="0" w:color="auto"/>
              <w:right w:val="single" w:sz="4" w:space="0" w:color="auto"/>
            </w:tcBorders>
            <w:shd w:val="clear" w:color="000000" w:fill="BDD7EE"/>
            <w:noWrap/>
            <w:vAlign w:val="bottom"/>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Coyol</w:t>
            </w:r>
          </w:p>
        </w:tc>
        <w:tc>
          <w:tcPr>
            <w:tcW w:w="608" w:type="pct"/>
            <w:tcBorders>
              <w:top w:val="nil"/>
              <w:left w:val="nil"/>
              <w:bottom w:val="single" w:sz="4" w:space="0" w:color="auto"/>
              <w:right w:val="single" w:sz="4" w:space="0" w:color="auto"/>
            </w:tcBorders>
            <w:shd w:val="clear" w:color="000000" w:fill="BDD7EE"/>
            <w:noWrap/>
            <w:vAlign w:val="bottom"/>
            <w:hideMark/>
          </w:tcPr>
          <w:p w:rsidR="00D93FD5" w:rsidRPr="00D6530C" w:rsidRDefault="00D93FD5" w:rsidP="009F5196">
            <w:pPr>
              <w:jc w:val="center"/>
              <w:rPr>
                <w:rFonts w:ascii="Arial" w:hAnsi="Arial" w:cs="Arial"/>
                <w:b/>
                <w:bCs/>
                <w:color w:val="000000"/>
                <w:sz w:val="22"/>
                <w:szCs w:val="22"/>
              </w:rPr>
            </w:pPr>
            <w:r w:rsidRPr="00D6530C">
              <w:rPr>
                <w:rFonts w:ascii="Arial" w:hAnsi="Arial" w:cs="Arial"/>
                <w:b/>
                <w:bCs/>
                <w:color w:val="000000"/>
                <w:sz w:val="22"/>
                <w:szCs w:val="22"/>
              </w:rPr>
              <w:t>Factor C</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D93FD5" w:rsidRPr="00D6530C" w:rsidRDefault="00D93FD5" w:rsidP="009F5196">
            <w:pPr>
              <w:rPr>
                <w:rFonts w:ascii="Arial" w:hAnsi="Arial" w:cs="Arial"/>
                <w:b/>
                <w:bCs/>
                <w:color w:val="000000"/>
                <w:sz w:val="22"/>
                <w:szCs w:val="22"/>
              </w:rPr>
            </w:pPr>
          </w:p>
        </w:tc>
      </w:tr>
      <w:tr w:rsidR="00D93FD5" w:rsidRPr="00D6530C" w:rsidTr="009F5196">
        <w:trPr>
          <w:trHeight w:val="300"/>
        </w:trPr>
        <w:tc>
          <w:tcPr>
            <w:tcW w:w="904" w:type="pct"/>
            <w:tcBorders>
              <w:top w:val="nil"/>
              <w:left w:val="single" w:sz="4" w:space="0" w:color="auto"/>
              <w:bottom w:val="single" w:sz="4" w:space="0" w:color="auto"/>
              <w:right w:val="single" w:sz="4" w:space="0" w:color="auto"/>
            </w:tcBorders>
            <w:shd w:val="clear" w:color="auto" w:fill="auto"/>
            <w:noWrap/>
            <w:vAlign w:val="bottom"/>
            <w:hideMark/>
          </w:tcPr>
          <w:p w:rsidR="00D93FD5" w:rsidRPr="00D6530C" w:rsidRDefault="00D93FD5" w:rsidP="009F5196">
            <w:pPr>
              <w:rPr>
                <w:rFonts w:ascii="Arial" w:hAnsi="Arial" w:cs="Arial"/>
                <w:color w:val="000000"/>
                <w:sz w:val="22"/>
                <w:szCs w:val="22"/>
              </w:rPr>
            </w:pPr>
            <w:r w:rsidRPr="00D6530C">
              <w:rPr>
                <w:rFonts w:ascii="Arial" w:hAnsi="Arial" w:cs="Arial"/>
                <w:color w:val="000000"/>
                <w:sz w:val="22"/>
                <w:szCs w:val="22"/>
              </w:rPr>
              <w:t xml:space="preserve">Asociado </w:t>
            </w:r>
          </w:p>
        </w:tc>
        <w:tc>
          <w:tcPr>
            <w:tcW w:w="773"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13,50%</w:t>
            </w:r>
          </w:p>
        </w:tc>
        <w:tc>
          <w:tcPr>
            <w:tcW w:w="668"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6%</w:t>
            </w:r>
          </w:p>
        </w:tc>
        <w:tc>
          <w:tcPr>
            <w:tcW w:w="608"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6%</w:t>
            </w:r>
          </w:p>
        </w:tc>
        <w:tc>
          <w:tcPr>
            <w:tcW w:w="572"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5%</w:t>
            </w:r>
          </w:p>
        </w:tc>
        <w:tc>
          <w:tcPr>
            <w:tcW w:w="608"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5%</w:t>
            </w:r>
          </w:p>
        </w:tc>
        <w:tc>
          <w:tcPr>
            <w:tcW w:w="867"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1.200</w:t>
            </w:r>
          </w:p>
        </w:tc>
      </w:tr>
      <w:tr w:rsidR="00D93FD5" w:rsidRPr="00D6530C" w:rsidTr="009F5196">
        <w:trPr>
          <w:trHeight w:val="300"/>
        </w:trPr>
        <w:tc>
          <w:tcPr>
            <w:tcW w:w="904" w:type="pct"/>
            <w:tcBorders>
              <w:top w:val="nil"/>
              <w:left w:val="single" w:sz="4" w:space="0" w:color="auto"/>
              <w:bottom w:val="single" w:sz="4" w:space="0" w:color="auto"/>
              <w:right w:val="single" w:sz="4" w:space="0" w:color="auto"/>
            </w:tcBorders>
            <w:shd w:val="clear" w:color="auto" w:fill="auto"/>
            <w:noWrap/>
            <w:vAlign w:val="bottom"/>
            <w:hideMark/>
          </w:tcPr>
          <w:p w:rsidR="00D93FD5" w:rsidRPr="00D6530C" w:rsidRDefault="00D93FD5" w:rsidP="009F5196">
            <w:pPr>
              <w:rPr>
                <w:rFonts w:ascii="Arial" w:hAnsi="Arial" w:cs="Arial"/>
                <w:color w:val="000000"/>
                <w:sz w:val="22"/>
                <w:szCs w:val="22"/>
              </w:rPr>
            </w:pPr>
            <w:r w:rsidRPr="00D6530C">
              <w:rPr>
                <w:rFonts w:ascii="Arial" w:hAnsi="Arial" w:cs="Arial"/>
                <w:color w:val="000000"/>
                <w:sz w:val="22"/>
                <w:szCs w:val="22"/>
              </w:rPr>
              <w:t>Independiente</w:t>
            </w:r>
          </w:p>
        </w:tc>
        <w:tc>
          <w:tcPr>
            <w:tcW w:w="773"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13,50%</w:t>
            </w:r>
          </w:p>
        </w:tc>
        <w:tc>
          <w:tcPr>
            <w:tcW w:w="668"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2%</w:t>
            </w:r>
          </w:p>
        </w:tc>
        <w:tc>
          <w:tcPr>
            <w:tcW w:w="608"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2%</w:t>
            </w:r>
          </w:p>
        </w:tc>
        <w:tc>
          <w:tcPr>
            <w:tcW w:w="572"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5%</w:t>
            </w:r>
          </w:p>
        </w:tc>
        <w:tc>
          <w:tcPr>
            <w:tcW w:w="608"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5%</w:t>
            </w:r>
          </w:p>
        </w:tc>
        <w:tc>
          <w:tcPr>
            <w:tcW w:w="867" w:type="pct"/>
            <w:tcBorders>
              <w:top w:val="nil"/>
              <w:left w:val="nil"/>
              <w:bottom w:val="single" w:sz="4" w:space="0" w:color="auto"/>
              <w:right w:val="single" w:sz="4" w:space="0" w:color="auto"/>
            </w:tcBorders>
            <w:shd w:val="clear" w:color="auto" w:fill="auto"/>
            <w:noWrap/>
            <w:vAlign w:val="bottom"/>
            <w:hideMark/>
          </w:tcPr>
          <w:p w:rsidR="00D93FD5" w:rsidRPr="00D6530C" w:rsidRDefault="00D93FD5" w:rsidP="009F5196">
            <w:pPr>
              <w:jc w:val="center"/>
              <w:rPr>
                <w:rFonts w:ascii="Arial" w:hAnsi="Arial" w:cs="Arial"/>
                <w:color w:val="000000"/>
                <w:sz w:val="22"/>
                <w:szCs w:val="22"/>
              </w:rPr>
            </w:pPr>
            <w:r w:rsidRPr="00D6530C">
              <w:rPr>
                <w:rFonts w:ascii="Arial" w:hAnsi="Arial" w:cs="Arial"/>
                <w:color w:val="000000"/>
                <w:sz w:val="22"/>
                <w:szCs w:val="22"/>
              </w:rPr>
              <w:t>1.200</w:t>
            </w:r>
          </w:p>
        </w:tc>
      </w:tr>
    </w:tbl>
    <w:p w:rsidR="00D93FD5" w:rsidRPr="00BA5E16" w:rsidRDefault="00D93FD5" w:rsidP="00D93FD5">
      <w:pPr>
        <w:spacing w:line="276" w:lineRule="auto"/>
        <w:jc w:val="both"/>
        <w:rPr>
          <w:rFonts w:ascii="Arial" w:hAnsi="Arial" w:cs="Arial"/>
          <w:sz w:val="20"/>
          <w:szCs w:val="20"/>
          <w:lang w:val="es-CR"/>
        </w:rPr>
      </w:pPr>
      <w:r w:rsidRPr="00BA5E16">
        <w:rPr>
          <w:rFonts w:ascii="Arial" w:hAnsi="Arial" w:cs="Arial"/>
          <w:sz w:val="20"/>
          <w:szCs w:val="20"/>
          <w:lang w:val="es-CR"/>
        </w:rPr>
        <w:t>Fuente: Coopeagropal, 2020</w:t>
      </w:r>
    </w:p>
    <w:p w:rsidR="00D93FD5" w:rsidRDefault="00D93FD5" w:rsidP="00D93FD5">
      <w:pPr>
        <w:spacing w:line="276" w:lineRule="auto"/>
        <w:jc w:val="both"/>
        <w:rPr>
          <w:rFonts w:ascii="Arial" w:hAnsi="Arial" w:cs="Arial"/>
          <w:highlight w:val="yellow"/>
          <w:lang w:val="es-CR"/>
        </w:rPr>
      </w:pPr>
    </w:p>
    <w:p w:rsidR="00D93FD5" w:rsidRDefault="00D93FD5" w:rsidP="00D93FD5">
      <w:pPr>
        <w:spacing w:line="276" w:lineRule="auto"/>
        <w:jc w:val="both"/>
        <w:rPr>
          <w:rFonts w:ascii="Arial" w:hAnsi="Arial" w:cs="Arial"/>
          <w:lang w:val="es-CR"/>
        </w:rPr>
      </w:pPr>
      <w:r w:rsidRPr="00BA5E16">
        <w:rPr>
          <w:rFonts w:ascii="Arial" w:hAnsi="Arial" w:cs="Arial"/>
          <w:lang w:val="es-CR"/>
        </w:rPr>
        <w:t>Es importante indicar que este modelo se diseñó para que el productor asociado reciba un mejor beneficio que el independiente, con la intención de volver más atractiva la condición propiamente de asociado, atrayendo nuevos productores al modelo, disminuyendo las renuncias e incrementando las captaciones de capital social.</w:t>
      </w:r>
      <w:r>
        <w:rPr>
          <w:rFonts w:ascii="Arial" w:hAnsi="Arial" w:cs="Arial"/>
          <w:lang w:val="es-CR"/>
        </w:rPr>
        <w:t xml:space="preserve">  </w:t>
      </w:r>
    </w:p>
    <w:p w:rsidR="00D93FD5" w:rsidRPr="001E4A40" w:rsidRDefault="00D93FD5" w:rsidP="00D93FD5">
      <w:pPr>
        <w:pStyle w:val="NormalWeb"/>
        <w:spacing w:before="0" w:beforeAutospacing="0" w:after="0" w:afterAutospacing="0"/>
        <w:textAlignment w:val="baseline"/>
        <w:rPr>
          <w:rFonts w:ascii="Arial" w:eastAsiaTheme="minorHAnsi" w:hAnsi="Arial" w:cs="Arial"/>
          <w:szCs w:val="22"/>
          <w:highlight w:val="yellow"/>
          <w:lang w:eastAsia="en-US"/>
        </w:rPr>
      </w:pPr>
    </w:p>
    <w:p w:rsidR="00D93FD5" w:rsidRPr="00D51AD8" w:rsidRDefault="00D93FD5" w:rsidP="00D51AD8">
      <w:pPr>
        <w:pStyle w:val="Ttulo3"/>
        <w:rPr>
          <w:sz w:val="32"/>
          <w:szCs w:val="32"/>
          <w:lang w:val="es-CR"/>
        </w:rPr>
      </w:pPr>
      <w:bookmarkStart w:id="81" w:name="_Toc455042968"/>
      <w:bookmarkStart w:id="82" w:name="_Toc477265130"/>
      <w:bookmarkStart w:id="83" w:name="_Toc35512611"/>
      <w:bookmarkStart w:id="84" w:name="_Toc63666218"/>
      <w:r w:rsidRPr="00D51AD8">
        <w:rPr>
          <w:sz w:val="32"/>
          <w:szCs w:val="32"/>
          <w:lang w:val="es-CR"/>
        </w:rPr>
        <w:t>P</w:t>
      </w:r>
      <w:bookmarkEnd w:id="81"/>
      <w:bookmarkEnd w:id="82"/>
      <w:r w:rsidRPr="00D51AD8">
        <w:rPr>
          <w:sz w:val="32"/>
          <w:szCs w:val="32"/>
          <w:lang w:val="es-CR"/>
        </w:rPr>
        <w:t>almatec</w:t>
      </w:r>
      <w:bookmarkEnd w:id="83"/>
      <w:bookmarkEnd w:id="84"/>
    </w:p>
    <w:p w:rsidR="00D93FD5" w:rsidRPr="00D05719" w:rsidRDefault="00D93FD5" w:rsidP="00D93FD5">
      <w:pPr>
        <w:jc w:val="both"/>
      </w:pPr>
    </w:p>
    <w:p w:rsidR="00D93FD5" w:rsidRDefault="00D93FD5" w:rsidP="00D93FD5">
      <w:pPr>
        <w:spacing w:line="276" w:lineRule="auto"/>
        <w:jc w:val="both"/>
        <w:rPr>
          <w:rFonts w:ascii="Arial" w:hAnsi="Arial" w:cs="Arial"/>
        </w:rPr>
      </w:pPr>
      <w:r w:rsidRPr="00D05719">
        <w:rPr>
          <w:rFonts w:ascii="Arial" w:hAnsi="Arial" w:cs="Arial"/>
        </w:rPr>
        <w:t>Palmatec posee una planta extractora con una capacidad de 12 TM/HR, con capacidad de ampliación a corto plazo a 20 TM/HR. Dicha empresa no tiene producción de fruta y paga aproximadamente entre un 13,5% y un 15% del CIF Rotterdam del precio internacional del aceite crudo de palma.</w:t>
      </w:r>
    </w:p>
    <w:p w:rsidR="00D93FD5" w:rsidRPr="007458D8" w:rsidRDefault="00D93FD5" w:rsidP="007458D8">
      <w:pPr>
        <w:rPr>
          <w:rFonts w:ascii="Arial" w:hAnsi="Arial" w:cs="Arial"/>
          <w:b/>
          <w:bCs/>
          <w:sz w:val="28"/>
          <w:lang w:val="es-CR"/>
        </w:rPr>
      </w:pPr>
    </w:p>
    <w:p w:rsidR="003246A0" w:rsidRPr="00A75E7F" w:rsidRDefault="003246A0" w:rsidP="003246A0">
      <w:pPr>
        <w:pStyle w:val="Ttulo2"/>
        <w:rPr>
          <w:rFonts w:eastAsia="Calibri"/>
          <w:lang w:eastAsia="en-US"/>
        </w:rPr>
      </w:pPr>
      <w:bookmarkStart w:id="85" w:name="_Toc35512600"/>
      <w:bookmarkStart w:id="86" w:name="_Toc63666219"/>
      <w:r w:rsidRPr="00A75E7F">
        <w:rPr>
          <w:rFonts w:eastAsia="Calibri"/>
          <w:lang w:eastAsia="en-US"/>
        </w:rPr>
        <w:t xml:space="preserve">Precio </w:t>
      </w:r>
      <w:r>
        <w:rPr>
          <w:rFonts w:eastAsia="Calibri"/>
          <w:lang w:eastAsia="en-US"/>
        </w:rPr>
        <w:t xml:space="preserve">promedio de compra de la fruta </w:t>
      </w:r>
      <w:r w:rsidRPr="00A75E7F">
        <w:rPr>
          <w:rFonts w:eastAsia="Calibri"/>
          <w:lang w:eastAsia="en-US"/>
        </w:rPr>
        <w:t>según industria</w:t>
      </w:r>
      <w:bookmarkEnd w:id="85"/>
      <w:bookmarkEnd w:id="86"/>
      <w:r w:rsidRPr="00A75E7F">
        <w:rPr>
          <w:rFonts w:eastAsia="Calibri"/>
          <w:lang w:eastAsia="en-US"/>
        </w:rPr>
        <w:t xml:space="preserve"> </w:t>
      </w:r>
    </w:p>
    <w:p w:rsidR="003246A0" w:rsidRPr="00C36368" w:rsidRDefault="003246A0" w:rsidP="003246A0">
      <w:pPr>
        <w:pStyle w:val="Sinespaciado"/>
        <w:rPr>
          <w:lang w:val="es-CR"/>
        </w:rPr>
      </w:pPr>
    </w:p>
    <w:p w:rsidR="003246A0" w:rsidRDefault="003246A0" w:rsidP="003246A0">
      <w:pPr>
        <w:spacing w:line="276" w:lineRule="auto"/>
        <w:jc w:val="both"/>
        <w:rPr>
          <w:rFonts w:ascii="Arial" w:hAnsi="Arial" w:cs="Arial"/>
          <w:lang w:val="es-CR"/>
        </w:rPr>
      </w:pPr>
      <w:r w:rsidRPr="00A75E7F">
        <w:rPr>
          <w:rFonts w:ascii="Arial" w:hAnsi="Arial" w:cs="Arial"/>
          <w:lang w:val="es-CR"/>
        </w:rPr>
        <w:t xml:space="preserve">A continuación, se muestra el comportamiento, del precio </w:t>
      </w:r>
      <w:r>
        <w:rPr>
          <w:rFonts w:ascii="Arial" w:hAnsi="Arial" w:cs="Arial"/>
          <w:lang w:val="es-CR"/>
        </w:rPr>
        <w:t>promedio de compra de fruta</w:t>
      </w:r>
      <w:r w:rsidRPr="00A75E7F">
        <w:rPr>
          <w:rFonts w:ascii="Arial" w:hAnsi="Arial" w:cs="Arial"/>
          <w:lang w:val="es-CR"/>
        </w:rPr>
        <w:t xml:space="preserve"> a partir de la información recopilada </w:t>
      </w:r>
      <w:r>
        <w:rPr>
          <w:rFonts w:ascii="Arial" w:hAnsi="Arial" w:cs="Arial"/>
          <w:lang w:val="es-CR"/>
        </w:rPr>
        <w:t>en</w:t>
      </w:r>
      <w:r w:rsidRPr="00A75E7F">
        <w:rPr>
          <w:rFonts w:ascii="Arial" w:hAnsi="Arial" w:cs="Arial"/>
          <w:lang w:val="es-CR"/>
        </w:rPr>
        <w:t xml:space="preserve"> las industrias.</w:t>
      </w:r>
    </w:p>
    <w:p w:rsidR="003246A0" w:rsidRDefault="003246A0" w:rsidP="003246A0">
      <w:pPr>
        <w:pStyle w:val="Sinespaciado"/>
        <w:rPr>
          <w:lang w:val="es-CR"/>
        </w:rPr>
      </w:pPr>
    </w:p>
    <w:p w:rsidR="003246A0" w:rsidRDefault="003246A0" w:rsidP="003246A0">
      <w:pPr>
        <w:spacing w:line="276" w:lineRule="auto"/>
        <w:jc w:val="both"/>
        <w:rPr>
          <w:rFonts w:ascii="Arial" w:hAnsi="Arial" w:cs="Arial"/>
          <w:lang w:val="es-CR"/>
        </w:rPr>
      </w:pPr>
      <w:r>
        <w:rPr>
          <w:rFonts w:ascii="Arial" w:hAnsi="Arial" w:cs="Arial"/>
          <w:lang w:val="es-CR"/>
        </w:rPr>
        <w:t>La información de precios de Palma Tica fue suministrada por la Cámara Nacional de Productores de Palma (Canapalma), por su parte los precios de la Cooperativa Agroindustrial de Servicios Múltiples de Productores de Palma Aceitera R.L (Coopeagropal) fueron suministrados por ellos mismos, esta última ofrece dos precios uno para asociados y otro para productores independientes.</w:t>
      </w:r>
    </w:p>
    <w:p w:rsidR="003246A0" w:rsidRDefault="003246A0" w:rsidP="003246A0">
      <w:pPr>
        <w:pStyle w:val="Sinespaciado"/>
        <w:rPr>
          <w:lang w:val="es-CR"/>
        </w:rPr>
      </w:pPr>
    </w:p>
    <w:p w:rsidR="003246A0" w:rsidRDefault="003246A0" w:rsidP="003246A0">
      <w:pPr>
        <w:spacing w:line="276" w:lineRule="auto"/>
        <w:jc w:val="both"/>
        <w:rPr>
          <w:rFonts w:ascii="Arial" w:hAnsi="Arial" w:cs="Arial"/>
          <w:lang w:val="es-CR"/>
        </w:rPr>
      </w:pPr>
      <w:r>
        <w:rPr>
          <w:rFonts w:ascii="Arial" w:hAnsi="Arial" w:cs="Arial"/>
          <w:lang w:val="es-CR"/>
        </w:rPr>
        <w:t xml:space="preserve">Es importante indicar que existen dos métodos de pago en las industrias y por ello los precios de compra de fruta tienen importantes diferencias, en el 2016 la diferencia entre el precio de Palma Tica y Coopeagropal fue de un 10,98%. </w:t>
      </w:r>
    </w:p>
    <w:p w:rsidR="003246A0" w:rsidRDefault="003246A0" w:rsidP="003246A0">
      <w:pPr>
        <w:spacing w:line="276" w:lineRule="auto"/>
        <w:jc w:val="both"/>
        <w:rPr>
          <w:rFonts w:ascii="Arial" w:hAnsi="Arial" w:cs="Arial"/>
          <w:lang w:val="es-CR"/>
        </w:rPr>
      </w:pPr>
    </w:p>
    <w:p w:rsidR="003246A0" w:rsidRDefault="003246A0" w:rsidP="003246A0">
      <w:pPr>
        <w:spacing w:line="276" w:lineRule="auto"/>
        <w:jc w:val="both"/>
        <w:rPr>
          <w:rFonts w:ascii="Arial" w:hAnsi="Arial" w:cs="Arial"/>
          <w:lang w:val="es-CR"/>
        </w:rPr>
      </w:pPr>
      <w:r>
        <w:rPr>
          <w:rFonts w:ascii="Arial" w:hAnsi="Arial" w:cs="Arial"/>
          <w:lang w:val="es-CR"/>
        </w:rPr>
        <w:lastRenderedPageBreak/>
        <w:t>Para años posteriores el precio en el 2017 fue mayor en Palma Tica en 0,24%, en el 2018 Coopeagropal pagó un precio de 0,64% mayor que Palma Tica y para el 2019 el precio de Palma Tica fue de 4,48% mayor con respecto al de productor independiente de Coopeagropal.</w:t>
      </w:r>
    </w:p>
    <w:p w:rsidR="003246A0" w:rsidRPr="00C36368" w:rsidRDefault="003246A0" w:rsidP="003246A0">
      <w:pPr>
        <w:pStyle w:val="Sinespaciado"/>
        <w:rPr>
          <w:lang w:val="es-CR"/>
        </w:rPr>
      </w:pPr>
    </w:p>
    <w:p w:rsidR="003246A0" w:rsidRDefault="003246A0" w:rsidP="003246A0">
      <w:pPr>
        <w:pStyle w:val="Descripcin"/>
        <w:jc w:val="both"/>
        <w:rPr>
          <w:rFonts w:ascii="Arial" w:eastAsia="Calibri" w:hAnsi="Arial" w:cs="Arial"/>
          <w:sz w:val="24"/>
          <w:szCs w:val="24"/>
          <w:lang w:eastAsia="en-US"/>
        </w:rPr>
      </w:pPr>
      <w:bookmarkStart w:id="87" w:name="_Toc477264431"/>
      <w:bookmarkStart w:id="88" w:name="_Toc35512629"/>
      <w:bookmarkStart w:id="89" w:name="_Toc63666238"/>
      <w:r w:rsidRPr="00A75E7F">
        <w:rPr>
          <w:rFonts w:ascii="Arial" w:eastAsia="Calibri" w:hAnsi="Arial" w:cs="Arial"/>
          <w:sz w:val="24"/>
          <w:szCs w:val="24"/>
          <w:lang w:eastAsia="en-US"/>
        </w:rPr>
        <w:t xml:space="preserve">Cuadro </w:t>
      </w:r>
      <w:r w:rsidRPr="00A75E7F">
        <w:rPr>
          <w:rFonts w:ascii="Arial" w:eastAsia="Calibri" w:hAnsi="Arial" w:cs="Arial"/>
          <w:sz w:val="24"/>
          <w:szCs w:val="24"/>
          <w:lang w:eastAsia="en-US"/>
        </w:rPr>
        <w:fldChar w:fldCharType="begin"/>
      </w:r>
      <w:r w:rsidRPr="00A75E7F">
        <w:rPr>
          <w:rFonts w:ascii="Arial" w:eastAsia="Calibri" w:hAnsi="Arial" w:cs="Arial"/>
          <w:sz w:val="24"/>
          <w:szCs w:val="24"/>
          <w:lang w:eastAsia="en-US"/>
        </w:rPr>
        <w:instrText xml:space="preserve"> SEQ Cuadro \* ARABIC </w:instrText>
      </w:r>
      <w:r w:rsidRPr="00A75E7F">
        <w:rPr>
          <w:rFonts w:ascii="Arial" w:eastAsia="Calibri" w:hAnsi="Arial" w:cs="Arial"/>
          <w:sz w:val="24"/>
          <w:szCs w:val="24"/>
          <w:lang w:eastAsia="en-US"/>
        </w:rPr>
        <w:fldChar w:fldCharType="separate"/>
      </w:r>
      <w:r w:rsidR="00255753">
        <w:rPr>
          <w:rFonts w:ascii="Arial" w:eastAsia="Calibri" w:hAnsi="Arial" w:cs="Arial"/>
          <w:noProof/>
          <w:sz w:val="24"/>
          <w:szCs w:val="24"/>
          <w:lang w:eastAsia="en-US"/>
        </w:rPr>
        <w:t>5</w:t>
      </w:r>
      <w:r w:rsidRPr="00A75E7F">
        <w:rPr>
          <w:rFonts w:ascii="Arial" w:eastAsia="Calibri" w:hAnsi="Arial" w:cs="Arial"/>
          <w:sz w:val="24"/>
          <w:szCs w:val="24"/>
          <w:lang w:eastAsia="en-US"/>
        </w:rPr>
        <w:fldChar w:fldCharType="end"/>
      </w:r>
      <w:r w:rsidRPr="00A75E7F">
        <w:rPr>
          <w:rFonts w:ascii="Arial" w:eastAsia="Calibri" w:hAnsi="Arial" w:cs="Arial"/>
          <w:sz w:val="24"/>
          <w:szCs w:val="24"/>
          <w:lang w:eastAsia="en-US"/>
        </w:rPr>
        <w:t>. Precio de compra fruta</w:t>
      </w:r>
      <w:r>
        <w:rPr>
          <w:rFonts w:ascii="Arial" w:eastAsia="Calibri" w:hAnsi="Arial" w:cs="Arial"/>
          <w:sz w:val="24"/>
          <w:szCs w:val="24"/>
          <w:lang w:eastAsia="en-US"/>
        </w:rPr>
        <w:t xml:space="preserve"> promedio</w:t>
      </w:r>
      <w:r w:rsidRPr="00A75E7F">
        <w:rPr>
          <w:rFonts w:ascii="Arial" w:eastAsia="Calibri" w:hAnsi="Arial" w:cs="Arial"/>
          <w:sz w:val="24"/>
          <w:szCs w:val="24"/>
          <w:lang w:eastAsia="en-US"/>
        </w:rPr>
        <w:t xml:space="preserve"> de palma aceitera</w:t>
      </w:r>
      <w:bookmarkEnd w:id="87"/>
      <w:r>
        <w:rPr>
          <w:rFonts w:ascii="Arial" w:eastAsia="Calibri" w:hAnsi="Arial" w:cs="Arial"/>
          <w:sz w:val="24"/>
          <w:szCs w:val="24"/>
          <w:lang w:eastAsia="en-US"/>
        </w:rPr>
        <w:t xml:space="preserve"> según industria, años 2016-2019</w:t>
      </w:r>
      <w:bookmarkEnd w:id="88"/>
      <w:bookmarkEnd w:id="89"/>
    </w:p>
    <w:p w:rsidR="003246A0" w:rsidRPr="002C6653" w:rsidRDefault="003246A0" w:rsidP="003246A0">
      <w:pPr>
        <w:rPr>
          <w:rFonts w:eastAsia="Calibri"/>
          <w:lang w:eastAsia="en-US"/>
        </w:rPr>
      </w:pPr>
    </w:p>
    <w:tbl>
      <w:tblPr>
        <w:tblW w:w="5254" w:type="pct"/>
        <w:tblCellMar>
          <w:left w:w="70" w:type="dxa"/>
          <w:right w:w="70" w:type="dxa"/>
        </w:tblCellMar>
        <w:tblLook w:val="04A0" w:firstRow="1" w:lastRow="0" w:firstColumn="1" w:lastColumn="0" w:noHBand="0" w:noVBand="1"/>
      </w:tblPr>
      <w:tblGrid>
        <w:gridCol w:w="1333"/>
        <w:gridCol w:w="1446"/>
        <w:gridCol w:w="2603"/>
        <w:gridCol w:w="3543"/>
      </w:tblGrid>
      <w:tr w:rsidR="003246A0" w:rsidTr="009F5196">
        <w:trPr>
          <w:trHeight w:val="300"/>
        </w:trPr>
        <w:tc>
          <w:tcPr>
            <w:tcW w:w="747"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246A0" w:rsidRDefault="003246A0" w:rsidP="009F5196">
            <w:pPr>
              <w:jc w:val="center"/>
              <w:rPr>
                <w:rFonts w:ascii="Arial" w:hAnsi="Arial" w:cs="Arial"/>
                <w:b/>
                <w:bCs/>
                <w:color w:val="000000"/>
                <w:sz w:val="22"/>
                <w:szCs w:val="22"/>
                <w:lang w:val="es-CR" w:eastAsia="es-CR"/>
              </w:rPr>
            </w:pPr>
            <w:r>
              <w:rPr>
                <w:rFonts w:ascii="Arial" w:hAnsi="Arial" w:cs="Arial"/>
                <w:b/>
                <w:bCs/>
                <w:color w:val="000000"/>
                <w:sz w:val="22"/>
                <w:szCs w:val="22"/>
              </w:rPr>
              <w:t>Año</w:t>
            </w:r>
          </w:p>
        </w:tc>
        <w:tc>
          <w:tcPr>
            <w:tcW w:w="810"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Palma Tica</w:t>
            </w:r>
          </w:p>
        </w:tc>
        <w:tc>
          <w:tcPr>
            <w:tcW w:w="3443" w:type="pct"/>
            <w:gridSpan w:val="2"/>
            <w:tcBorders>
              <w:top w:val="single" w:sz="4" w:space="0" w:color="auto"/>
              <w:left w:val="nil"/>
              <w:bottom w:val="single" w:sz="4" w:space="0" w:color="auto"/>
              <w:right w:val="single" w:sz="4" w:space="0" w:color="000000"/>
            </w:tcBorders>
            <w:shd w:val="clear" w:color="000000" w:fill="C5D9F1"/>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 xml:space="preserve">Coopeagropal </w:t>
            </w:r>
          </w:p>
        </w:tc>
      </w:tr>
      <w:tr w:rsidR="003246A0" w:rsidTr="009F5196">
        <w:trPr>
          <w:trHeight w:val="600"/>
        </w:trPr>
        <w:tc>
          <w:tcPr>
            <w:tcW w:w="747" w:type="pct"/>
            <w:vMerge/>
            <w:tcBorders>
              <w:top w:val="single" w:sz="4" w:space="0" w:color="auto"/>
              <w:left w:val="single" w:sz="4" w:space="0" w:color="auto"/>
              <w:bottom w:val="single" w:sz="4" w:space="0" w:color="auto"/>
              <w:right w:val="single" w:sz="4" w:space="0" w:color="auto"/>
            </w:tcBorders>
            <w:vAlign w:val="center"/>
            <w:hideMark/>
          </w:tcPr>
          <w:p w:rsidR="003246A0" w:rsidRDefault="003246A0" w:rsidP="009F5196">
            <w:pPr>
              <w:rPr>
                <w:rFonts w:ascii="Arial" w:hAnsi="Arial" w:cs="Arial"/>
                <w:b/>
                <w:bCs/>
                <w:color w:val="000000"/>
                <w:sz w:val="22"/>
                <w:szCs w:val="22"/>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3246A0" w:rsidRDefault="003246A0" w:rsidP="009F5196">
            <w:pPr>
              <w:rPr>
                <w:rFonts w:ascii="Arial" w:hAnsi="Arial" w:cs="Arial"/>
                <w:b/>
                <w:bCs/>
                <w:color w:val="000000"/>
                <w:sz w:val="22"/>
                <w:szCs w:val="22"/>
              </w:rPr>
            </w:pPr>
          </w:p>
        </w:tc>
        <w:tc>
          <w:tcPr>
            <w:tcW w:w="1458" w:type="pct"/>
            <w:tcBorders>
              <w:top w:val="nil"/>
              <w:left w:val="nil"/>
              <w:bottom w:val="single" w:sz="4" w:space="0" w:color="auto"/>
              <w:right w:val="single" w:sz="4" w:space="0" w:color="auto"/>
            </w:tcBorders>
            <w:shd w:val="clear" w:color="000000" w:fill="C5D9F1"/>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Precio asociado</w:t>
            </w:r>
          </w:p>
        </w:tc>
        <w:tc>
          <w:tcPr>
            <w:tcW w:w="1985" w:type="pct"/>
            <w:tcBorders>
              <w:top w:val="nil"/>
              <w:left w:val="nil"/>
              <w:bottom w:val="single" w:sz="4" w:space="0" w:color="auto"/>
              <w:right w:val="single" w:sz="4" w:space="0" w:color="auto"/>
            </w:tcBorders>
            <w:shd w:val="clear" w:color="000000" w:fill="C5D9F1"/>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Precio productor independiente</w:t>
            </w:r>
          </w:p>
        </w:tc>
      </w:tr>
      <w:tr w:rsidR="003246A0" w:rsidTr="009F5196">
        <w:trPr>
          <w:trHeight w:val="300"/>
        </w:trPr>
        <w:tc>
          <w:tcPr>
            <w:tcW w:w="747" w:type="pct"/>
            <w:tcBorders>
              <w:top w:val="nil"/>
              <w:left w:val="single" w:sz="4" w:space="0" w:color="auto"/>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2016</w:t>
            </w:r>
          </w:p>
        </w:tc>
        <w:tc>
          <w:tcPr>
            <w:tcW w:w="810"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color w:val="000000"/>
                <w:sz w:val="22"/>
                <w:szCs w:val="22"/>
              </w:rPr>
            </w:pPr>
            <w:r>
              <w:rPr>
                <w:rFonts w:ascii="Arial" w:hAnsi="Arial" w:cs="Arial"/>
                <w:color w:val="000000"/>
                <w:sz w:val="22"/>
                <w:szCs w:val="22"/>
              </w:rPr>
              <w:t xml:space="preserve">₡48.739,09 </w:t>
            </w:r>
          </w:p>
        </w:tc>
        <w:tc>
          <w:tcPr>
            <w:tcW w:w="1458"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₡54.753,25 </w:t>
            </w:r>
          </w:p>
        </w:tc>
        <w:tc>
          <w:tcPr>
            <w:tcW w:w="1985"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₡54.753,25 </w:t>
            </w:r>
          </w:p>
        </w:tc>
      </w:tr>
      <w:tr w:rsidR="003246A0" w:rsidTr="009F5196">
        <w:trPr>
          <w:trHeight w:val="300"/>
        </w:trPr>
        <w:tc>
          <w:tcPr>
            <w:tcW w:w="747" w:type="pct"/>
            <w:tcBorders>
              <w:top w:val="nil"/>
              <w:left w:val="single" w:sz="4" w:space="0" w:color="auto"/>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2017</w:t>
            </w:r>
          </w:p>
        </w:tc>
        <w:tc>
          <w:tcPr>
            <w:tcW w:w="810"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color w:val="000000"/>
                <w:sz w:val="22"/>
                <w:szCs w:val="22"/>
              </w:rPr>
            </w:pPr>
            <w:r>
              <w:rPr>
                <w:rFonts w:ascii="Arial" w:hAnsi="Arial" w:cs="Arial"/>
                <w:color w:val="000000"/>
                <w:sz w:val="22"/>
                <w:szCs w:val="22"/>
              </w:rPr>
              <w:t xml:space="preserve">₡58.929,11 </w:t>
            </w:r>
          </w:p>
        </w:tc>
        <w:tc>
          <w:tcPr>
            <w:tcW w:w="1458"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₡58.788,89 </w:t>
            </w:r>
          </w:p>
        </w:tc>
        <w:tc>
          <w:tcPr>
            <w:tcW w:w="1985"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₡58.788,89 </w:t>
            </w:r>
          </w:p>
        </w:tc>
      </w:tr>
      <w:tr w:rsidR="003246A0" w:rsidTr="009F5196">
        <w:trPr>
          <w:trHeight w:val="300"/>
        </w:trPr>
        <w:tc>
          <w:tcPr>
            <w:tcW w:w="747" w:type="pct"/>
            <w:tcBorders>
              <w:top w:val="nil"/>
              <w:left w:val="single" w:sz="4" w:space="0" w:color="auto"/>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2018</w:t>
            </w:r>
          </w:p>
        </w:tc>
        <w:tc>
          <w:tcPr>
            <w:tcW w:w="810"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color w:val="000000"/>
                <w:sz w:val="22"/>
                <w:szCs w:val="22"/>
              </w:rPr>
            </w:pPr>
            <w:r>
              <w:rPr>
                <w:rFonts w:ascii="Arial" w:hAnsi="Arial" w:cs="Arial"/>
                <w:color w:val="000000"/>
                <w:sz w:val="22"/>
                <w:szCs w:val="22"/>
              </w:rPr>
              <w:t xml:space="preserve">₡51.689,94 </w:t>
            </w:r>
          </w:p>
        </w:tc>
        <w:tc>
          <w:tcPr>
            <w:tcW w:w="1458"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₡55.987,21 </w:t>
            </w:r>
          </w:p>
        </w:tc>
        <w:tc>
          <w:tcPr>
            <w:tcW w:w="1985"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₡52.021,05 </w:t>
            </w:r>
          </w:p>
        </w:tc>
      </w:tr>
      <w:tr w:rsidR="003246A0" w:rsidTr="009F5196">
        <w:trPr>
          <w:trHeight w:val="300"/>
        </w:trPr>
        <w:tc>
          <w:tcPr>
            <w:tcW w:w="747" w:type="pct"/>
            <w:tcBorders>
              <w:top w:val="nil"/>
              <w:left w:val="single" w:sz="4" w:space="0" w:color="auto"/>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b/>
                <w:bCs/>
                <w:color w:val="000000"/>
                <w:sz w:val="22"/>
                <w:szCs w:val="22"/>
              </w:rPr>
            </w:pPr>
            <w:r>
              <w:rPr>
                <w:rFonts w:ascii="Arial" w:hAnsi="Arial" w:cs="Arial"/>
                <w:b/>
                <w:bCs/>
                <w:color w:val="000000"/>
                <w:sz w:val="22"/>
                <w:szCs w:val="22"/>
              </w:rPr>
              <w:t>2019</w:t>
            </w:r>
          </w:p>
        </w:tc>
        <w:tc>
          <w:tcPr>
            <w:tcW w:w="810"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color w:val="000000"/>
                <w:sz w:val="22"/>
                <w:szCs w:val="22"/>
              </w:rPr>
            </w:pPr>
            <w:r>
              <w:rPr>
                <w:rFonts w:ascii="Arial" w:hAnsi="Arial" w:cs="Arial"/>
                <w:color w:val="000000"/>
                <w:sz w:val="22"/>
                <w:szCs w:val="22"/>
              </w:rPr>
              <w:t xml:space="preserve">₡49.671,79 </w:t>
            </w:r>
          </w:p>
        </w:tc>
        <w:tc>
          <w:tcPr>
            <w:tcW w:w="1458"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₡51.106,53 </w:t>
            </w:r>
          </w:p>
        </w:tc>
        <w:tc>
          <w:tcPr>
            <w:tcW w:w="1985" w:type="pct"/>
            <w:tcBorders>
              <w:top w:val="nil"/>
              <w:left w:val="nil"/>
              <w:bottom w:val="single" w:sz="4" w:space="0" w:color="auto"/>
              <w:right w:val="single" w:sz="4" w:space="0" w:color="auto"/>
            </w:tcBorders>
            <w:shd w:val="clear" w:color="000000" w:fill="FFFFFF"/>
            <w:noWrap/>
            <w:vAlign w:val="center"/>
            <w:hideMark/>
          </w:tcPr>
          <w:p w:rsidR="003246A0" w:rsidRDefault="003246A0" w:rsidP="009F5196">
            <w:pPr>
              <w:jc w:val="center"/>
              <w:rPr>
                <w:rFonts w:ascii="Arial" w:hAnsi="Arial" w:cs="Arial"/>
                <w:sz w:val="22"/>
                <w:szCs w:val="22"/>
              </w:rPr>
            </w:pPr>
            <w:r>
              <w:rPr>
                <w:rFonts w:ascii="Arial" w:hAnsi="Arial" w:cs="Arial"/>
                <w:sz w:val="22"/>
                <w:szCs w:val="22"/>
              </w:rPr>
              <w:t xml:space="preserve">₡47.541,80 </w:t>
            </w:r>
          </w:p>
        </w:tc>
      </w:tr>
    </w:tbl>
    <w:p w:rsidR="003246A0" w:rsidRDefault="003246A0" w:rsidP="003246A0">
      <w:pPr>
        <w:rPr>
          <w:lang w:eastAsia="en-US"/>
        </w:rPr>
      </w:pPr>
      <w:r>
        <w:rPr>
          <w:lang w:eastAsia="en-US"/>
        </w:rPr>
        <w:t>Fuente: Canapalma y Coopeagropal 2020</w:t>
      </w:r>
    </w:p>
    <w:p w:rsidR="003246A0" w:rsidRDefault="003246A0" w:rsidP="003246A0"/>
    <w:p w:rsidR="007458D8" w:rsidRPr="007458D8" w:rsidRDefault="007458D8" w:rsidP="00D51AD8">
      <w:pPr>
        <w:pStyle w:val="Ttulo2"/>
        <w:rPr>
          <w:rFonts w:cs="Arial"/>
          <w:b w:val="0"/>
          <w:bCs/>
          <w:sz w:val="28"/>
          <w:lang w:val="es-CR"/>
        </w:rPr>
      </w:pPr>
      <w:r w:rsidRPr="007458D8">
        <w:rPr>
          <w:rFonts w:cs="Arial"/>
          <w:lang w:val="es-CR"/>
        </w:rPr>
        <w:br w:type="page"/>
      </w:r>
    </w:p>
    <w:p w:rsidR="007458D8" w:rsidRPr="007458D8" w:rsidRDefault="007458D8" w:rsidP="0088405B">
      <w:pPr>
        <w:pStyle w:val="Ttulo1"/>
        <w:rPr>
          <w:lang w:val="es-CR"/>
        </w:rPr>
      </w:pPr>
      <w:bookmarkStart w:id="90" w:name="_Toc34906770"/>
      <w:bookmarkStart w:id="91" w:name="_Toc35865820"/>
      <w:bookmarkStart w:id="92" w:name="_Toc63666220"/>
      <w:r w:rsidRPr="007458D8">
        <w:rPr>
          <w:lang w:val="es-CR"/>
        </w:rPr>
        <w:lastRenderedPageBreak/>
        <w:t>Valuación del modelo de costos de la producción agrícola</w:t>
      </w:r>
      <w:bookmarkEnd w:id="90"/>
      <w:bookmarkEnd w:id="91"/>
      <w:bookmarkEnd w:id="92"/>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La última actualización del modelo se realizó en el año 2017, en el siguiente apartado se mostrará el resultado obtenido del trabajo conjunto entre técnicos del MEIC y el MAG. </w:t>
      </w:r>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 xml:space="preserve">Es importante indicar, que la actualización del modelo de costos </w:t>
      </w:r>
      <w:r w:rsidR="0043370A" w:rsidRPr="007458D8">
        <w:rPr>
          <w:rFonts w:ascii="Arial" w:hAnsi="Arial" w:cs="Arial"/>
          <w:lang w:val="es-CR"/>
        </w:rPr>
        <w:t>y,</w:t>
      </w:r>
      <w:r w:rsidRPr="007458D8">
        <w:rPr>
          <w:rFonts w:ascii="Arial" w:hAnsi="Arial" w:cs="Arial"/>
          <w:lang w:val="es-CR"/>
        </w:rPr>
        <w:t xml:space="preserve"> por ende, la definición de un precio para una tonelada métrica de fruta, permitió generar una propuesta de pago, que debe tomar el comportamiento de los mercados internacionales y la competitividad de la producción nacional; realidad que se torna de gran importancia, </w:t>
      </w:r>
      <w:r w:rsidR="002E2CF2">
        <w:rPr>
          <w:rFonts w:ascii="Arial" w:hAnsi="Arial" w:cs="Arial"/>
          <w:lang w:val="es-CR"/>
        </w:rPr>
        <w:t>ya que nuestra producción se colo</w:t>
      </w:r>
      <w:r w:rsidRPr="007458D8">
        <w:rPr>
          <w:rFonts w:ascii="Arial" w:hAnsi="Arial" w:cs="Arial"/>
          <w:lang w:val="es-CR"/>
        </w:rPr>
        <w:t xml:space="preserve">ca en otros países y la competencia generada por otros países a nivel regional es fuerte. </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El presente capítulo muestra la valuación del modelo de costos de la producción agrícola de palma aceitera. En primer lugar, se presenta la manera en que se desarrolla el modelo, es decir cada uno de los pasos para definir su precio:</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center"/>
        <w:rPr>
          <w:rFonts w:ascii="Arial" w:hAnsi="Arial" w:cs="Arial"/>
          <w:lang w:val="es-CR"/>
        </w:rPr>
      </w:pPr>
      <w:bookmarkStart w:id="93" w:name="_Toc34744587"/>
      <w:r w:rsidRPr="007458D8">
        <w:rPr>
          <w:rFonts w:ascii="Arial" w:hAnsi="Arial" w:cs="Arial"/>
          <w:lang w:val="es-CR"/>
        </w:rPr>
        <w:t xml:space="preserve">Ilustración </w:t>
      </w:r>
      <w:r w:rsidRPr="007458D8">
        <w:rPr>
          <w:rFonts w:ascii="Arial" w:hAnsi="Arial" w:cs="Arial"/>
          <w:lang w:val="es-CR"/>
        </w:rPr>
        <w:fldChar w:fldCharType="begin"/>
      </w:r>
      <w:r w:rsidRPr="007458D8">
        <w:rPr>
          <w:rFonts w:ascii="Arial" w:hAnsi="Arial" w:cs="Arial"/>
          <w:lang w:val="es-CR"/>
        </w:rPr>
        <w:instrText xml:space="preserve"> SEQ Ilustración \* ARABIC </w:instrText>
      </w:r>
      <w:r w:rsidRPr="007458D8">
        <w:rPr>
          <w:rFonts w:ascii="Arial" w:hAnsi="Arial" w:cs="Arial"/>
          <w:lang w:val="es-CR"/>
        </w:rPr>
        <w:fldChar w:fldCharType="separate"/>
      </w:r>
      <w:r w:rsidRPr="007458D8">
        <w:rPr>
          <w:rFonts w:ascii="Arial" w:hAnsi="Arial" w:cs="Arial"/>
          <w:noProof/>
          <w:lang w:val="es-CR"/>
        </w:rPr>
        <w:t>1</w:t>
      </w:r>
      <w:r w:rsidRPr="007458D8">
        <w:rPr>
          <w:rFonts w:ascii="Arial" w:hAnsi="Arial" w:cs="Arial"/>
          <w:lang w:val="es-CR"/>
        </w:rPr>
        <w:fldChar w:fldCharType="end"/>
      </w:r>
      <w:r w:rsidRPr="007458D8">
        <w:rPr>
          <w:rFonts w:ascii="Arial" w:hAnsi="Arial" w:cs="Arial"/>
          <w:lang w:val="es-CR"/>
        </w:rPr>
        <w:t>. Ruta crítica del modelo</w:t>
      </w:r>
      <w:bookmarkEnd w:id="93"/>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cs="Arial"/>
          <w:noProof/>
          <w:lang w:val="es-CR" w:eastAsia="es-CR"/>
        </w:rPr>
        <w:drawing>
          <wp:inline distT="0" distB="0" distL="0" distR="0" wp14:anchorId="460BD633" wp14:editId="4F2537F2">
            <wp:extent cx="5272819" cy="2957885"/>
            <wp:effectExtent l="0" t="0" r="4445" b="1397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Una vez ilustrado el proceso que conllevó la actualización del precio para la palma aceitera, se explican los supuestos que justifican los datos obtenidos.</w:t>
      </w:r>
    </w:p>
    <w:p w:rsidR="007458D8" w:rsidRPr="007458D8" w:rsidRDefault="007458D8" w:rsidP="007458D8">
      <w:pPr>
        <w:rPr>
          <w:lang w:val="es-CR"/>
        </w:rPr>
      </w:pPr>
    </w:p>
    <w:p w:rsidR="007458D8" w:rsidRPr="007458D8" w:rsidRDefault="007458D8" w:rsidP="007458D8">
      <w:pPr>
        <w:numPr>
          <w:ilvl w:val="0"/>
          <w:numId w:val="12"/>
        </w:numPr>
        <w:spacing w:line="276" w:lineRule="auto"/>
        <w:jc w:val="both"/>
        <w:rPr>
          <w:rFonts w:ascii="Arial" w:hAnsi="Arial" w:cs="Arial"/>
          <w:sz w:val="22"/>
          <w:szCs w:val="22"/>
          <w:lang w:val="es-CR" w:eastAsia="en-US"/>
        </w:rPr>
      </w:pPr>
      <w:r w:rsidRPr="007458D8">
        <w:rPr>
          <w:rFonts w:ascii="Arial" w:hAnsi="Arial" w:cs="Arial"/>
          <w:lang w:val="es-CR"/>
        </w:rPr>
        <w:t xml:space="preserve">Este modelo se adapta a las condiciones del país actualmente, donde la productividad promedio es baja, menor a 17 ton/ha/año. De esta manera la producción proyectada es moderada, sin alcanzar las productividades máximas del cultivo en el corto plazo, pero mejorando gradualmente. </w:t>
      </w:r>
    </w:p>
    <w:p w:rsidR="007458D8" w:rsidRPr="007458D8" w:rsidRDefault="007458D8" w:rsidP="007458D8">
      <w:pPr>
        <w:rPr>
          <w:rFonts w:eastAsiaTheme="minorHAnsi"/>
          <w:lang w:val="es-CR"/>
        </w:rPr>
      </w:pPr>
    </w:p>
    <w:p w:rsidR="007458D8" w:rsidRPr="007458D8" w:rsidRDefault="007458D8" w:rsidP="007458D8">
      <w:pPr>
        <w:numPr>
          <w:ilvl w:val="0"/>
          <w:numId w:val="12"/>
        </w:numPr>
        <w:spacing w:line="276" w:lineRule="auto"/>
        <w:jc w:val="both"/>
        <w:rPr>
          <w:rFonts w:ascii="Arial" w:hAnsi="Arial" w:cs="Arial"/>
          <w:lang w:val="es-CR"/>
        </w:rPr>
      </w:pPr>
      <w:r w:rsidRPr="007458D8">
        <w:rPr>
          <w:rFonts w:ascii="Arial" w:hAnsi="Arial" w:cs="Arial"/>
          <w:lang w:val="es-CR"/>
        </w:rPr>
        <w:t xml:space="preserve">El programa de fertilización utilizado, incluye dosis de mantenimiento básico, que permiten mantener productividades medias, que no alcanzan el potencial máximo, pero sin descuidar el cultivo </w:t>
      </w:r>
    </w:p>
    <w:p w:rsidR="007458D8" w:rsidRPr="007458D8" w:rsidRDefault="007458D8" w:rsidP="007458D8">
      <w:pPr>
        <w:rPr>
          <w:rFonts w:eastAsiaTheme="minorHAnsi"/>
          <w:lang w:val="es-CR"/>
        </w:rPr>
      </w:pPr>
    </w:p>
    <w:p w:rsidR="007458D8" w:rsidRPr="007458D8" w:rsidRDefault="007458D8" w:rsidP="007458D8">
      <w:pPr>
        <w:numPr>
          <w:ilvl w:val="0"/>
          <w:numId w:val="12"/>
        </w:numPr>
        <w:spacing w:line="276" w:lineRule="auto"/>
        <w:jc w:val="both"/>
        <w:rPr>
          <w:rFonts w:ascii="Arial" w:hAnsi="Arial" w:cs="Arial"/>
          <w:lang w:val="es-CR"/>
        </w:rPr>
      </w:pPr>
      <w:r w:rsidRPr="007458D8">
        <w:rPr>
          <w:rFonts w:ascii="Arial" w:hAnsi="Arial" w:cs="Arial"/>
          <w:lang w:val="es-CR"/>
        </w:rPr>
        <w:t>El programa de fertilización únicamente contempla fertilización con fertilizante químico, de acuerdo con la realidad actual</w:t>
      </w:r>
    </w:p>
    <w:p w:rsidR="007458D8" w:rsidRPr="007458D8" w:rsidRDefault="007458D8" w:rsidP="007458D8">
      <w:pPr>
        <w:rPr>
          <w:rFonts w:eastAsiaTheme="minorHAnsi"/>
          <w:lang w:val="es-CR"/>
        </w:rPr>
      </w:pPr>
    </w:p>
    <w:p w:rsidR="007458D8" w:rsidRPr="007458D8" w:rsidRDefault="007458D8" w:rsidP="007458D8">
      <w:pPr>
        <w:numPr>
          <w:ilvl w:val="0"/>
          <w:numId w:val="12"/>
        </w:numPr>
        <w:spacing w:line="276" w:lineRule="auto"/>
        <w:jc w:val="both"/>
        <w:rPr>
          <w:rFonts w:ascii="Arial" w:hAnsi="Arial" w:cs="Arial"/>
          <w:lang w:val="es-CR"/>
        </w:rPr>
      </w:pPr>
      <w:r w:rsidRPr="007458D8">
        <w:rPr>
          <w:rFonts w:ascii="Arial" w:hAnsi="Arial" w:cs="Arial"/>
          <w:lang w:val="es-CR"/>
        </w:rPr>
        <w:t xml:space="preserve">Para lograr competitividad del sector, futuros escenarios deben ser mejorados de manera integral, promoviendo prácticas de fertilización que mejoren el suelo como: incorporación de materia orgánica de la misma finca (boñiga, rastrojo de maleza), incorporación de enmiendas orgánicas de bajo costo. </w:t>
      </w:r>
    </w:p>
    <w:p w:rsidR="007458D8" w:rsidRPr="007458D8" w:rsidRDefault="007458D8" w:rsidP="007458D8">
      <w:pPr>
        <w:rPr>
          <w:rFonts w:eastAsiaTheme="minorHAnsi"/>
          <w:lang w:val="es-CR"/>
        </w:rPr>
      </w:pPr>
    </w:p>
    <w:p w:rsidR="007458D8" w:rsidRPr="007458D8" w:rsidRDefault="007458D8" w:rsidP="007458D8">
      <w:pPr>
        <w:numPr>
          <w:ilvl w:val="0"/>
          <w:numId w:val="12"/>
        </w:numPr>
        <w:spacing w:line="276" w:lineRule="auto"/>
        <w:jc w:val="both"/>
        <w:rPr>
          <w:rFonts w:ascii="Calibri" w:hAnsi="Calibri"/>
          <w:lang w:val="es-CR" w:eastAsia="es-CR"/>
        </w:rPr>
      </w:pPr>
      <w:r w:rsidRPr="007458D8">
        <w:rPr>
          <w:rFonts w:ascii="Arial" w:hAnsi="Arial" w:cs="Arial"/>
          <w:lang w:val="es-CR"/>
        </w:rPr>
        <w:t xml:space="preserve">El modelo incluye fertilización química, que incluye el uso de fórmulas físicas y materias primas. Para mejorar la competitividad del sector, futuros modelo de costos debes incluir el uso de nuevas tecnologías de fertilización, como: fertilizante de lenta libración, fuentes de fertilizante con hidrogeles, fertilizantes hidrosolubles en dosis bajas, complemento de la fertilización química con fuentes orgánicas de la misma finca. </w:t>
      </w:r>
    </w:p>
    <w:p w:rsidR="007458D8" w:rsidRPr="007458D8" w:rsidRDefault="007458D8" w:rsidP="007458D8">
      <w:pPr>
        <w:ind w:left="720"/>
        <w:contextualSpacing/>
        <w:rPr>
          <w:rFonts w:ascii="Calibri" w:hAnsi="Calibri"/>
          <w:lang w:val="es-CR" w:eastAsia="es-CR"/>
        </w:rPr>
      </w:pPr>
    </w:p>
    <w:p w:rsidR="007458D8" w:rsidRPr="007458D8" w:rsidRDefault="007458D8" w:rsidP="007458D8">
      <w:pPr>
        <w:jc w:val="both"/>
        <w:rPr>
          <w:rFonts w:ascii="Calibri" w:hAnsi="Calibri"/>
          <w:lang w:val="es-CR" w:eastAsia="es-CR"/>
        </w:rPr>
      </w:pPr>
    </w:p>
    <w:p w:rsidR="007458D8" w:rsidRPr="007458D8" w:rsidRDefault="007458D8" w:rsidP="0088405B">
      <w:pPr>
        <w:pStyle w:val="Ttulo2"/>
        <w:rPr>
          <w:lang w:val="es-CR"/>
        </w:rPr>
      </w:pPr>
      <w:bookmarkStart w:id="94" w:name="_Toc34906771"/>
      <w:bookmarkStart w:id="95" w:name="_Toc35865821"/>
      <w:bookmarkStart w:id="96" w:name="_Toc63666221"/>
      <w:r w:rsidRPr="007458D8">
        <w:rPr>
          <w:lang w:val="es-CR"/>
        </w:rPr>
        <w:t>Costo agrícola</w:t>
      </w:r>
      <w:bookmarkEnd w:id="94"/>
      <w:bookmarkEnd w:id="95"/>
      <w:bookmarkEnd w:id="96"/>
    </w:p>
    <w:p w:rsidR="007458D8" w:rsidRPr="007458D8" w:rsidRDefault="007458D8" w:rsidP="007458D8">
      <w:pPr>
        <w:rPr>
          <w:rFonts w:ascii="Arial" w:eastAsiaTheme="majorEastAsia" w:hAnsi="Arial" w:cstheme="majorBidi"/>
          <w:b/>
          <w:szCs w:val="26"/>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El modelo contempla los costos agrícolas para cada uno de los años de vida de la palma aceitera, los cuales van desde el año 1 hasta el año 22, cuando la planta inicia con rendimientos decrecientes en su productividad. Dichos costos agrícolas incluyen actividades agrícolas como: i) rodaje</w:t>
      </w:r>
      <w:r w:rsidR="002E2CF2">
        <w:rPr>
          <w:rFonts w:ascii="Arial" w:hAnsi="Arial" w:cs="Arial"/>
          <w:lang w:val="es-CR"/>
        </w:rPr>
        <w:t>a</w:t>
      </w:r>
      <w:r w:rsidRPr="007458D8">
        <w:rPr>
          <w:rFonts w:ascii="Arial" w:hAnsi="Arial" w:cs="Arial"/>
          <w:lang w:val="es-CR"/>
        </w:rPr>
        <w:t xml:space="preserve">, ii) aplicaciones de fertilizantes, y otros, iii) chapias, iv) cosecha entre otras. </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Por su parte, se desglosan los principales insumos según el año de producción, por ejemplo: fert</w:t>
      </w:r>
      <w:r w:rsidR="002E2CF2">
        <w:rPr>
          <w:rFonts w:ascii="Arial" w:hAnsi="Arial" w:cs="Arial"/>
          <w:lang w:val="es-CR"/>
        </w:rPr>
        <w:t>ilizantes, herbicidas, así</w:t>
      </w:r>
      <w:r w:rsidRPr="007458D8">
        <w:rPr>
          <w:rFonts w:ascii="Arial" w:hAnsi="Arial" w:cs="Arial"/>
          <w:lang w:val="es-CR"/>
        </w:rPr>
        <w:t xml:space="preserve"> como materiales tales como var</w:t>
      </w:r>
      <w:r w:rsidR="002E2CF2">
        <w:rPr>
          <w:rFonts w:ascii="Arial" w:hAnsi="Arial" w:cs="Arial"/>
          <w:lang w:val="es-CR"/>
        </w:rPr>
        <w:t>illa, moto guad</w:t>
      </w:r>
      <w:r w:rsidRPr="007458D8">
        <w:rPr>
          <w:rFonts w:ascii="Arial" w:hAnsi="Arial" w:cs="Arial"/>
          <w:lang w:val="es-CR"/>
        </w:rPr>
        <w:t xml:space="preserve">aña, bomba de espalda, entre otros. Finalmente, se incluyen otros </w:t>
      </w:r>
      <w:r w:rsidRPr="007458D8">
        <w:rPr>
          <w:rFonts w:ascii="Arial" w:hAnsi="Arial" w:cs="Arial"/>
          <w:lang w:val="es-CR"/>
        </w:rPr>
        <w:lastRenderedPageBreak/>
        <w:t>costos necesa</w:t>
      </w:r>
      <w:r w:rsidR="002E2CF2">
        <w:rPr>
          <w:rFonts w:ascii="Arial" w:hAnsi="Arial" w:cs="Arial"/>
          <w:lang w:val="es-CR"/>
        </w:rPr>
        <w:t>rios para la producción agrícola</w:t>
      </w:r>
      <w:r w:rsidRPr="007458D8">
        <w:rPr>
          <w:rFonts w:ascii="Arial" w:hAnsi="Arial" w:cs="Arial"/>
          <w:lang w:val="es-CR"/>
        </w:rPr>
        <w:t xml:space="preserve"> como el transporte, mantenimiento de caminos, análisis médicos a empleados, principalmente.</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Con el desglose de los costos agrícolas para cada año se obtiene un costo promedio, el cual será utilizado junto con el rendimiento mínimo esperado, para obtener el costo promedio agrícola por TM. El siguiente cuadro presenta el costo por hectárea y las toneladas esperadas por año para el periodo en análisis.</w:t>
      </w:r>
    </w:p>
    <w:p w:rsidR="007458D8" w:rsidRPr="007458D8" w:rsidRDefault="007458D8" w:rsidP="007458D8">
      <w:pPr>
        <w:spacing w:line="276" w:lineRule="auto"/>
        <w:jc w:val="both"/>
        <w:rPr>
          <w:rFonts w:ascii="Arial" w:hAnsi="Arial" w:cs="Arial"/>
          <w:lang w:val="es-CR"/>
        </w:rPr>
      </w:pPr>
    </w:p>
    <w:p w:rsidR="007458D8" w:rsidRDefault="007458D8" w:rsidP="007458D8">
      <w:pPr>
        <w:jc w:val="center"/>
        <w:rPr>
          <w:rFonts w:ascii="Arial" w:eastAsia="Calibri" w:hAnsi="Arial" w:cs="Arial"/>
          <w:bCs/>
          <w:lang w:val="es-CR" w:eastAsia="en-US"/>
        </w:rPr>
      </w:pPr>
      <w:bookmarkStart w:id="97" w:name="_Toc34744313"/>
      <w:bookmarkStart w:id="98" w:name="_Toc34744435"/>
      <w:bookmarkStart w:id="99" w:name="_Toc63666239"/>
      <w:r w:rsidRPr="007458D8">
        <w:rPr>
          <w:rFonts w:ascii="Arial" w:eastAsia="Calibri" w:hAnsi="Arial" w:cs="Arial"/>
          <w:bCs/>
          <w:lang w:val="es-CR" w:eastAsia="en-US"/>
        </w:rPr>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6</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Resumen de producción de palma aceitera. Costo agrícola /HA/año</w:t>
      </w:r>
      <w:bookmarkEnd w:id="97"/>
      <w:bookmarkEnd w:id="98"/>
      <w:bookmarkEnd w:id="99"/>
    </w:p>
    <w:p w:rsidR="0043370A" w:rsidRPr="007458D8" w:rsidRDefault="0043370A" w:rsidP="007458D8">
      <w:pPr>
        <w:jc w:val="center"/>
        <w:rPr>
          <w:rFonts w:ascii="Arial" w:hAnsi="Arial" w:cs="Arial"/>
          <w:bCs/>
          <w:sz w:val="20"/>
          <w:szCs w:val="20"/>
          <w:lang w:val="es-CR"/>
        </w:rPr>
      </w:pPr>
    </w:p>
    <w:tbl>
      <w:tblPr>
        <w:tblW w:w="5980" w:type="dxa"/>
        <w:jc w:val="center"/>
        <w:tblCellMar>
          <w:left w:w="70" w:type="dxa"/>
          <w:right w:w="70" w:type="dxa"/>
        </w:tblCellMar>
        <w:tblLook w:val="04A0" w:firstRow="1" w:lastRow="0" w:firstColumn="1" w:lastColumn="0" w:noHBand="0" w:noVBand="1"/>
      </w:tblPr>
      <w:tblGrid>
        <w:gridCol w:w="2620"/>
        <w:gridCol w:w="1520"/>
        <w:gridCol w:w="1840"/>
      </w:tblGrid>
      <w:tr w:rsidR="007458D8" w:rsidRPr="007458D8" w:rsidTr="007458D8">
        <w:trPr>
          <w:trHeight w:val="178"/>
          <w:jc w:val="center"/>
        </w:trPr>
        <w:tc>
          <w:tcPr>
            <w:tcW w:w="2620" w:type="dxa"/>
            <w:tcBorders>
              <w:top w:val="double" w:sz="6" w:space="0" w:color="auto"/>
              <w:left w:val="nil"/>
              <w:bottom w:val="double" w:sz="6" w:space="0" w:color="auto"/>
              <w:right w:val="nil"/>
            </w:tcBorders>
            <w:shd w:val="clear" w:color="000000" w:fill="FFFFFF"/>
            <w:vAlign w:val="bottom"/>
            <w:hideMark/>
          </w:tcPr>
          <w:p w:rsidR="007458D8" w:rsidRPr="007458D8" w:rsidRDefault="007458D8" w:rsidP="007458D8">
            <w:pPr>
              <w:jc w:val="center"/>
              <w:rPr>
                <w:rFonts w:ascii="Calibri" w:hAnsi="Calibri" w:cs="Calibri"/>
                <w:b/>
                <w:bCs/>
                <w:color w:val="000000"/>
                <w:sz w:val="20"/>
                <w:szCs w:val="20"/>
                <w:lang w:val="es-CR" w:eastAsia="es-CR"/>
              </w:rPr>
            </w:pPr>
            <w:r w:rsidRPr="007458D8">
              <w:rPr>
                <w:rFonts w:ascii="Calibri" w:hAnsi="Calibri" w:cs="Calibri"/>
                <w:b/>
                <w:bCs/>
                <w:color w:val="000000"/>
                <w:sz w:val="20"/>
                <w:szCs w:val="20"/>
                <w:lang w:val="es-CR"/>
              </w:rPr>
              <w:t>EDAD  PLANTACION</w:t>
            </w:r>
          </w:p>
        </w:tc>
        <w:tc>
          <w:tcPr>
            <w:tcW w:w="1520" w:type="dxa"/>
            <w:tcBorders>
              <w:top w:val="double" w:sz="6" w:space="0" w:color="auto"/>
              <w:left w:val="nil"/>
              <w:bottom w:val="double" w:sz="6" w:space="0" w:color="auto"/>
              <w:right w:val="nil"/>
            </w:tcBorders>
            <w:shd w:val="clear" w:color="000000" w:fill="FFFFFF"/>
            <w:vAlign w:val="bottom"/>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₡/Ha</w:t>
            </w:r>
          </w:p>
        </w:tc>
        <w:tc>
          <w:tcPr>
            <w:tcW w:w="1840" w:type="dxa"/>
            <w:tcBorders>
              <w:top w:val="double" w:sz="6" w:space="0" w:color="auto"/>
              <w:left w:val="nil"/>
              <w:bottom w:val="double" w:sz="6" w:space="0" w:color="auto"/>
              <w:right w:val="nil"/>
            </w:tcBorders>
            <w:shd w:val="clear" w:color="000000" w:fill="FFFFFF"/>
            <w:vAlign w:val="bottom"/>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TM/Ha/Año</w:t>
            </w:r>
          </w:p>
        </w:tc>
      </w:tr>
      <w:tr w:rsidR="007458D8" w:rsidRPr="007458D8" w:rsidTr="007458D8">
        <w:trPr>
          <w:trHeight w:val="315"/>
          <w:jc w:val="center"/>
        </w:trPr>
        <w:tc>
          <w:tcPr>
            <w:tcW w:w="2620" w:type="dxa"/>
            <w:tcBorders>
              <w:top w:val="double" w:sz="6" w:space="0" w:color="auto"/>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w:t>
            </w:r>
          </w:p>
        </w:tc>
        <w:tc>
          <w:tcPr>
            <w:tcW w:w="1520" w:type="dxa"/>
            <w:tcBorders>
              <w:top w:val="double" w:sz="6" w:space="0" w:color="auto"/>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1.361.717</w:t>
            </w:r>
          </w:p>
        </w:tc>
        <w:tc>
          <w:tcPr>
            <w:tcW w:w="1840" w:type="dxa"/>
            <w:tcBorders>
              <w:top w:val="double" w:sz="6" w:space="0" w:color="auto"/>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1,20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422.623</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3,00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3</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470.489</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6,00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4</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578.388</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5</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730.884</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15,00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6</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893.798</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18,00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7</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909.189</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8</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972.836</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9</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972.836</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10</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982.458</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11</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1.027.729</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12</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987.868</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13</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998.616</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14</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1.002.301</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15</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1.002.292</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16</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1.002.292</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17</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1.002.292</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18</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1.002.292</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19</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1.002.292</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1.002.292</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00"/>
          <w:jc w:val="center"/>
        </w:trPr>
        <w:tc>
          <w:tcPr>
            <w:tcW w:w="262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21</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1.025.206</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15"/>
          <w:jc w:val="center"/>
        </w:trPr>
        <w:tc>
          <w:tcPr>
            <w:tcW w:w="2620" w:type="dxa"/>
            <w:tcBorders>
              <w:top w:val="nil"/>
              <w:left w:val="nil"/>
              <w:bottom w:val="double" w:sz="6" w:space="0" w:color="auto"/>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22</w:t>
            </w:r>
          </w:p>
        </w:tc>
        <w:tc>
          <w:tcPr>
            <w:tcW w:w="1520" w:type="dxa"/>
            <w:tcBorders>
              <w:top w:val="nil"/>
              <w:left w:val="nil"/>
              <w:bottom w:val="double" w:sz="6" w:space="0" w:color="auto"/>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1.025.206</w:t>
            </w:r>
          </w:p>
        </w:tc>
        <w:tc>
          <w:tcPr>
            <w:tcW w:w="1840" w:type="dxa"/>
            <w:tcBorders>
              <w:top w:val="nil"/>
              <w:left w:val="nil"/>
              <w:bottom w:val="double" w:sz="6" w:space="0" w:color="auto"/>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20,00</w:t>
            </w:r>
          </w:p>
        </w:tc>
      </w:tr>
      <w:tr w:rsidR="007458D8" w:rsidRPr="007458D8" w:rsidTr="007458D8">
        <w:trPr>
          <w:trHeight w:val="315"/>
          <w:jc w:val="center"/>
        </w:trPr>
        <w:tc>
          <w:tcPr>
            <w:tcW w:w="2620" w:type="dxa"/>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Costo total</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20.375.897,76</w:t>
            </w:r>
          </w:p>
        </w:tc>
        <w:tc>
          <w:tcPr>
            <w:tcW w:w="1840" w:type="dxa"/>
            <w:tcBorders>
              <w:top w:val="nil"/>
              <w:left w:val="nil"/>
              <w:bottom w:val="nil"/>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372,00</w:t>
            </w:r>
          </w:p>
        </w:tc>
      </w:tr>
      <w:tr w:rsidR="007458D8" w:rsidRPr="007458D8" w:rsidTr="007458D8">
        <w:trPr>
          <w:trHeight w:val="300"/>
          <w:jc w:val="center"/>
        </w:trPr>
        <w:tc>
          <w:tcPr>
            <w:tcW w:w="2620" w:type="dxa"/>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Costo promedio / Ha</w:t>
            </w:r>
          </w:p>
        </w:tc>
        <w:tc>
          <w:tcPr>
            <w:tcW w:w="1520" w:type="dxa"/>
            <w:tcBorders>
              <w:top w:val="nil"/>
              <w:left w:val="nil"/>
              <w:bottom w:val="nil"/>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926.177,17</w:t>
            </w:r>
          </w:p>
        </w:tc>
        <w:tc>
          <w:tcPr>
            <w:tcW w:w="1840" w:type="dxa"/>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 </w:t>
            </w:r>
          </w:p>
        </w:tc>
      </w:tr>
      <w:tr w:rsidR="007458D8" w:rsidRPr="007458D8" w:rsidTr="007458D8">
        <w:trPr>
          <w:trHeight w:val="315"/>
          <w:jc w:val="center"/>
        </w:trPr>
        <w:tc>
          <w:tcPr>
            <w:tcW w:w="2620" w:type="dxa"/>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Productividad (TM/Ha)</w:t>
            </w:r>
          </w:p>
        </w:tc>
        <w:tc>
          <w:tcPr>
            <w:tcW w:w="1520" w:type="dxa"/>
            <w:tcBorders>
              <w:top w:val="nil"/>
              <w:left w:val="nil"/>
              <w:bottom w:val="double" w:sz="6" w:space="0" w:color="auto"/>
              <w:right w:val="nil"/>
            </w:tcBorders>
            <w:shd w:val="clear" w:color="000000" w:fill="FFFFFF"/>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16,23</w:t>
            </w:r>
          </w:p>
        </w:tc>
        <w:tc>
          <w:tcPr>
            <w:tcW w:w="1840" w:type="dxa"/>
            <w:tcBorders>
              <w:top w:val="nil"/>
              <w:left w:val="nil"/>
              <w:bottom w:val="double" w:sz="6" w:space="0" w:color="auto"/>
              <w:right w:val="nil"/>
            </w:tcBorders>
            <w:shd w:val="clear" w:color="000000" w:fill="FFFFFF"/>
            <w:vAlign w:val="bottom"/>
            <w:hideMark/>
          </w:tcPr>
          <w:p w:rsidR="007458D8" w:rsidRPr="007458D8" w:rsidRDefault="007458D8" w:rsidP="007458D8">
            <w:pPr>
              <w:jc w:val="center"/>
              <w:rPr>
                <w:rFonts w:ascii="Calibri" w:hAnsi="Calibri" w:cs="Calibri"/>
                <w:color w:val="000000"/>
                <w:sz w:val="20"/>
                <w:szCs w:val="20"/>
                <w:lang w:val="es-CR"/>
              </w:rPr>
            </w:pPr>
            <w:r w:rsidRPr="007458D8">
              <w:rPr>
                <w:rFonts w:ascii="Calibri" w:hAnsi="Calibri" w:cs="Calibri"/>
                <w:color w:val="000000"/>
                <w:sz w:val="20"/>
                <w:szCs w:val="20"/>
                <w:lang w:val="es-CR"/>
              </w:rPr>
              <w:t> </w:t>
            </w:r>
          </w:p>
        </w:tc>
      </w:tr>
      <w:tr w:rsidR="007458D8" w:rsidRPr="007458D8" w:rsidTr="007458D8">
        <w:trPr>
          <w:trHeight w:val="330"/>
          <w:jc w:val="center"/>
        </w:trPr>
        <w:tc>
          <w:tcPr>
            <w:tcW w:w="2620" w:type="dxa"/>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b/>
                <w:bCs/>
                <w:color w:val="000000"/>
                <w:sz w:val="20"/>
                <w:szCs w:val="20"/>
                <w:lang w:val="es-CR"/>
              </w:rPr>
            </w:pPr>
            <w:r w:rsidRPr="007458D8">
              <w:rPr>
                <w:rFonts w:ascii="Calibri" w:hAnsi="Calibri" w:cs="Calibri"/>
                <w:b/>
                <w:bCs/>
                <w:color w:val="000000"/>
                <w:sz w:val="20"/>
                <w:szCs w:val="20"/>
                <w:lang w:val="es-CR"/>
              </w:rPr>
              <w:t>Costo promedio / TM</w:t>
            </w:r>
          </w:p>
        </w:tc>
        <w:tc>
          <w:tcPr>
            <w:tcW w:w="1520" w:type="dxa"/>
            <w:tcBorders>
              <w:top w:val="nil"/>
              <w:left w:val="nil"/>
              <w:bottom w:val="double" w:sz="6" w:space="0" w:color="auto"/>
              <w:right w:val="nil"/>
            </w:tcBorders>
            <w:shd w:val="clear" w:color="000000" w:fill="FFFFFF"/>
            <w:vAlign w:val="bottom"/>
            <w:hideMark/>
          </w:tcPr>
          <w:p w:rsidR="007458D8" w:rsidRPr="007458D8" w:rsidRDefault="007458D8" w:rsidP="007458D8">
            <w:pPr>
              <w:jc w:val="right"/>
              <w:rPr>
                <w:rFonts w:ascii="Calibri" w:hAnsi="Calibri" w:cs="Calibri"/>
                <w:b/>
                <w:bCs/>
                <w:color w:val="000000"/>
                <w:sz w:val="20"/>
                <w:szCs w:val="20"/>
                <w:lang w:val="es-CR"/>
              </w:rPr>
            </w:pPr>
            <w:r w:rsidRPr="007458D8">
              <w:rPr>
                <w:rFonts w:ascii="Calibri" w:hAnsi="Calibri" w:cs="Calibri"/>
                <w:b/>
                <w:bCs/>
                <w:color w:val="000000"/>
                <w:sz w:val="20"/>
                <w:szCs w:val="20"/>
                <w:lang w:val="es-CR"/>
              </w:rPr>
              <w:t>57.079,51</w:t>
            </w:r>
          </w:p>
        </w:tc>
        <w:tc>
          <w:tcPr>
            <w:tcW w:w="1840" w:type="dxa"/>
            <w:tcBorders>
              <w:top w:val="double" w:sz="6" w:space="0" w:color="auto"/>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 </w:t>
            </w:r>
          </w:p>
        </w:tc>
      </w:tr>
    </w:tbl>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lastRenderedPageBreak/>
        <w:t>Es importante indicar que los costos agrícolas representan el 95% del costo total y 84% del precio final, es decir este es el rubro más importante dentro de la estructura de costos del modelo de palma aceitera.</w:t>
      </w:r>
    </w:p>
    <w:p w:rsidR="007458D8" w:rsidRPr="007458D8" w:rsidRDefault="007458D8" w:rsidP="007458D8">
      <w:pPr>
        <w:spacing w:line="276" w:lineRule="auto"/>
        <w:jc w:val="both"/>
        <w:rPr>
          <w:rFonts w:ascii="Arial" w:hAnsi="Arial" w:cs="Arial"/>
          <w:lang w:val="es-CR"/>
        </w:rPr>
      </w:pPr>
    </w:p>
    <w:p w:rsidR="00FD2F6E" w:rsidRDefault="007458D8" w:rsidP="00FD2F6E">
      <w:pPr>
        <w:spacing w:line="276" w:lineRule="auto"/>
        <w:jc w:val="both"/>
        <w:rPr>
          <w:rFonts w:ascii="Arial" w:eastAsiaTheme="majorEastAsia" w:hAnsi="Arial" w:cstheme="majorBidi"/>
          <w:szCs w:val="26"/>
          <w:lang w:val="es-CR"/>
        </w:rPr>
      </w:pPr>
      <w:r w:rsidRPr="007458D8">
        <w:rPr>
          <w:rFonts w:ascii="Arial" w:hAnsi="Arial" w:cs="Arial"/>
          <w:lang w:val="es-CR"/>
        </w:rPr>
        <w:t xml:space="preserve">Por otra parte, se reconoce una productividad de 16,23 toneladas métricas por hectárea que corresponde a un promedio para 22 años de cosecha.  </w:t>
      </w:r>
      <w:bookmarkStart w:id="100" w:name="_Toc34906772"/>
    </w:p>
    <w:p w:rsidR="00FD2F6E" w:rsidRDefault="00FD2F6E" w:rsidP="00FD2F6E">
      <w:pPr>
        <w:spacing w:line="276" w:lineRule="auto"/>
        <w:jc w:val="both"/>
        <w:rPr>
          <w:rFonts w:ascii="Arial" w:eastAsiaTheme="majorEastAsia" w:hAnsi="Arial" w:cstheme="majorBidi"/>
          <w:szCs w:val="26"/>
          <w:lang w:val="es-CR"/>
        </w:rPr>
      </w:pPr>
    </w:p>
    <w:p w:rsidR="007458D8" w:rsidRPr="00FD2F6E" w:rsidRDefault="007458D8" w:rsidP="0088405B">
      <w:pPr>
        <w:pStyle w:val="Ttulo2"/>
        <w:rPr>
          <w:rFonts w:cs="Arial"/>
          <w:lang w:val="es-CR"/>
        </w:rPr>
      </w:pPr>
      <w:bookmarkStart w:id="101" w:name="_Toc63666222"/>
      <w:r w:rsidRPr="007458D8">
        <w:rPr>
          <w:lang w:val="es-CR"/>
        </w:rPr>
        <w:t>Costos variables</w:t>
      </w:r>
      <w:bookmarkEnd w:id="100"/>
      <w:bookmarkEnd w:id="101"/>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Por otro lado, se estiman los costos variables para la producción de palma aceitera, los cuales se refieren principalmente al equipo de protección personal, el siguiente cuadro presenta el desglose.</w:t>
      </w:r>
    </w:p>
    <w:p w:rsidR="007458D8" w:rsidRPr="007458D8" w:rsidRDefault="007458D8" w:rsidP="007458D8">
      <w:pPr>
        <w:jc w:val="both"/>
        <w:rPr>
          <w:rFonts w:ascii="Arial" w:eastAsia="Calibri" w:hAnsi="Arial" w:cs="Arial"/>
          <w:b/>
          <w:bCs/>
          <w:lang w:val="es-CR" w:eastAsia="en-US"/>
        </w:rPr>
      </w:pPr>
    </w:p>
    <w:p w:rsidR="007458D8" w:rsidRPr="007458D8" w:rsidRDefault="007458D8" w:rsidP="007458D8">
      <w:pPr>
        <w:jc w:val="center"/>
        <w:rPr>
          <w:rFonts w:ascii="Arial" w:eastAsia="Calibri" w:hAnsi="Arial" w:cs="Arial"/>
          <w:bCs/>
          <w:lang w:val="es-CR" w:eastAsia="en-US"/>
        </w:rPr>
      </w:pPr>
      <w:bookmarkStart w:id="102" w:name="_Toc34744314"/>
      <w:bookmarkStart w:id="103" w:name="_Toc34744436"/>
      <w:bookmarkStart w:id="104" w:name="_Toc63666240"/>
      <w:r w:rsidRPr="007458D8">
        <w:rPr>
          <w:rFonts w:ascii="Arial" w:eastAsia="Calibri" w:hAnsi="Arial" w:cs="Arial"/>
          <w:bCs/>
          <w:lang w:val="es-CR" w:eastAsia="en-US"/>
        </w:rPr>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7</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Estimación de costos variables</w:t>
      </w:r>
      <w:r w:rsidRPr="007458D8">
        <w:rPr>
          <w:rFonts w:ascii="Arial" w:hAnsi="Arial" w:cs="Arial"/>
          <w:bCs/>
          <w:sz w:val="20"/>
          <w:szCs w:val="20"/>
          <w:lang w:val="es-CR"/>
        </w:rPr>
        <w:t>.</w:t>
      </w:r>
      <w:bookmarkEnd w:id="102"/>
      <w:bookmarkEnd w:id="103"/>
      <w:bookmarkEnd w:id="104"/>
    </w:p>
    <w:tbl>
      <w:tblPr>
        <w:tblW w:w="5000" w:type="pct"/>
        <w:tblCellMar>
          <w:left w:w="70" w:type="dxa"/>
          <w:right w:w="70" w:type="dxa"/>
        </w:tblCellMar>
        <w:tblLook w:val="04A0" w:firstRow="1" w:lastRow="0" w:firstColumn="1" w:lastColumn="0" w:noHBand="0" w:noVBand="1"/>
      </w:tblPr>
      <w:tblGrid>
        <w:gridCol w:w="3084"/>
        <w:gridCol w:w="921"/>
        <w:gridCol w:w="1050"/>
        <w:gridCol w:w="1049"/>
        <w:gridCol w:w="978"/>
        <w:gridCol w:w="1422"/>
      </w:tblGrid>
      <w:tr w:rsidR="007458D8" w:rsidRPr="007458D8" w:rsidTr="007458D8">
        <w:trPr>
          <w:trHeight w:val="930"/>
        </w:trPr>
        <w:tc>
          <w:tcPr>
            <w:tcW w:w="1864" w:type="pct"/>
            <w:tcBorders>
              <w:top w:val="nil"/>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DETALLE DEL COSTO</w:t>
            </w:r>
          </w:p>
        </w:tc>
        <w:tc>
          <w:tcPr>
            <w:tcW w:w="533" w:type="pct"/>
            <w:tcBorders>
              <w:top w:val="nil"/>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Unidades</w:t>
            </w:r>
          </w:p>
        </w:tc>
        <w:tc>
          <w:tcPr>
            <w:tcW w:w="607" w:type="pct"/>
            <w:tcBorders>
              <w:top w:val="nil"/>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Cant.Ciclos ANUAL</w:t>
            </w:r>
          </w:p>
        </w:tc>
        <w:tc>
          <w:tcPr>
            <w:tcW w:w="607" w:type="pct"/>
            <w:tcBorders>
              <w:top w:val="nil"/>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CONSUMO POR HECTAREA</w:t>
            </w:r>
          </w:p>
        </w:tc>
        <w:tc>
          <w:tcPr>
            <w:tcW w:w="566" w:type="pct"/>
            <w:tcBorders>
              <w:top w:val="nil"/>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sz w:val="20"/>
                <w:szCs w:val="20"/>
                <w:lang w:val="es-CR"/>
              </w:rPr>
            </w:pPr>
            <w:r w:rsidRPr="007458D8">
              <w:rPr>
                <w:rFonts w:ascii="Calibri" w:hAnsi="Calibri" w:cs="Calibri"/>
                <w:b/>
                <w:bCs/>
                <w:sz w:val="20"/>
                <w:szCs w:val="20"/>
                <w:lang w:val="es-CR"/>
              </w:rPr>
              <w:t xml:space="preserve">COSTO UNITARIO </w:t>
            </w:r>
          </w:p>
        </w:tc>
        <w:tc>
          <w:tcPr>
            <w:tcW w:w="823" w:type="pct"/>
            <w:tcBorders>
              <w:top w:val="nil"/>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COSTO TOTAL POR HECTAREA</w:t>
            </w:r>
          </w:p>
        </w:tc>
      </w:tr>
      <w:tr w:rsidR="007458D8" w:rsidRPr="007458D8" w:rsidTr="007458D8">
        <w:trPr>
          <w:trHeight w:val="315"/>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Calibri" w:hAnsi="Calibri" w:cs="Calibri"/>
                <w:b/>
                <w:bCs/>
                <w:sz w:val="20"/>
                <w:szCs w:val="20"/>
                <w:lang w:val="es-CR"/>
              </w:rPr>
            </w:pPr>
            <w:r w:rsidRPr="007458D8">
              <w:rPr>
                <w:rFonts w:ascii="Calibri" w:hAnsi="Calibri" w:cs="Calibri"/>
                <w:b/>
                <w:bCs/>
                <w:sz w:val="20"/>
                <w:szCs w:val="20"/>
                <w:lang w:val="es-CR"/>
              </w:rPr>
              <w:t> </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r>
      <w:tr w:rsidR="007458D8" w:rsidRPr="007458D8" w:rsidTr="007458D8">
        <w:trPr>
          <w:trHeight w:val="300"/>
        </w:trPr>
        <w:tc>
          <w:tcPr>
            <w:tcW w:w="2397" w:type="pct"/>
            <w:gridSpan w:val="2"/>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20"/>
                <w:szCs w:val="20"/>
                <w:lang w:val="es-CR"/>
              </w:rPr>
            </w:pPr>
            <w:r w:rsidRPr="007458D8">
              <w:rPr>
                <w:rFonts w:ascii="Calibri" w:hAnsi="Calibri" w:cs="Calibri"/>
                <w:b/>
                <w:bCs/>
                <w:color w:val="000000"/>
                <w:sz w:val="20"/>
                <w:szCs w:val="20"/>
                <w:lang w:val="es-CR"/>
              </w:rPr>
              <w:t>1. EQUIPO DE PROTECCIÓN PERSONAL (EPP)</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20"/>
                <w:szCs w:val="20"/>
                <w:lang w:val="es-CR"/>
              </w:rPr>
            </w:pPr>
            <w:r w:rsidRPr="007458D8">
              <w:rPr>
                <w:rFonts w:ascii="Calibri" w:hAnsi="Calibri" w:cs="Calibri"/>
                <w:b/>
                <w:bCs/>
                <w:color w:val="000000"/>
                <w:sz w:val="20"/>
                <w:szCs w:val="20"/>
                <w:lang w:val="es-CR"/>
              </w:rPr>
              <w:t> </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sz w:val="20"/>
                <w:szCs w:val="20"/>
                <w:lang w:val="es-CR"/>
              </w:rPr>
            </w:pPr>
            <w:r w:rsidRPr="007458D8">
              <w:rPr>
                <w:rFonts w:ascii="Calibri" w:hAnsi="Calibri" w:cs="Calibri"/>
                <w:b/>
                <w:bCs/>
                <w:sz w:val="20"/>
                <w:szCs w:val="20"/>
                <w:lang w:val="es-CR"/>
              </w:rPr>
              <w:t> </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20"/>
                <w:szCs w:val="20"/>
                <w:lang w:val="es-CR"/>
              </w:rPr>
            </w:pPr>
            <w:r w:rsidRPr="007458D8">
              <w:rPr>
                <w:rFonts w:ascii="Calibri" w:hAnsi="Calibri" w:cs="Calibri"/>
                <w:b/>
                <w:bCs/>
                <w:color w:val="000000"/>
                <w:sz w:val="20"/>
                <w:szCs w:val="20"/>
                <w:lang w:val="es-CR"/>
              </w:rPr>
              <w:t>9.440,25</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Guantes Cuero</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Pares</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0,43</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6.685,15</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2.871,18</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Cinturones Lumbares</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0,13</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8.910,00</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1.188,00</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Protectores de Herramientas</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0,36</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5.237,33</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1.900,21</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Mascarillas</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0,03</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15.611,00</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390,28</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Repuestos Filtros Mascarillas</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0,20</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7.206,00</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1.441,20</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Anteojos Plásticos</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0,03</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727,00</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18,18</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Guantes de Nitrilo</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0,05</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2.014,33</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102,65</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Delantal PVC</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0,03</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2.303,00</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57,58</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Botas de Hule (Colibri)</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0,09</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7.341,30</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638,13</w:t>
            </w:r>
          </w:p>
        </w:tc>
      </w:tr>
      <w:tr w:rsidR="007458D8" w:rsidRPr="007458D8" w:rsidTr="007458D8">
        <w:trPr>
          <w:trHeight w:val="300"/>
        </w:trPr>
        <w:tc>
          <w:tcPr>
            <w:tcW w:w="1864"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Uniforme Para Aplicaciones</w:t>
            </w:r>
          </w:p>
        </w:tc>
        <w:tc>
          <w:tcPr>
            <w:tcW w:w="533"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Unidad</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1,00</w:t>
            </w:r>
          </w:p>
        </w:tc>
        <w:tc>
          <w:tcPr>
            <w:tcW w:w="607"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0,06</w:t>
            </w:r>
          </w:p>
        </w:tc>
        <w:tc>
          <w:tcPr>
            <w:tcW w:w="566"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sz w:val="20"/>
                <w:szCs w:val="20"/>
                <w:lang w:val="es-CR"/>
              </w:rPr>
            </w:pPr>
            <w:r w:rsidRPr="007458D8">
              <w:rPr>
                <w:rFonts w:ascii="Calibri" w:hAnsi="Calibri" w:cs="Calibri"/>
                <w:sz w:val="20"/>
                <w:szCs w:val="20"/>
                <w:lang w:val="es-CR"/>
              </w:rPr>
              <w:t>13.123,66</w:t>
            </w:r>
          </w:p>
        </w:tc>
        <w:tc>
          <w:tcPr>
            <w:tcW w:w="823"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832,85</w:t>
            </w:r>
          </w:p>
        </w:tc>
      </w:tr>
      <w:tr w:rsidR="007458D8" w:rsidRPr="007458D8" w:rsidTr="007458D8">
        <w:trPr>
          <w:trHeight w:val="315"/>
        </w:trPr>
        <w:tc>
          <w:tcPr>
            <w:tcW w:w="1864"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533"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607"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607"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566"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823"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r>
      <w:tr w:rsidR="007458D8" w:rsidRPr="007458D8" w:rsidTr="007458D8">
        <w:trPr>
          <w:trHeight w:val="330"/>
        </w:trPr>
        <w:tc>
          <w:tcPr>
            <w:tcW w:w="1864"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b/>
                <w:bCs/>
                <w:color w:val="000000"/>
                <w:sz w:val="20"/>
                <w:szCs w:val="20"/>
                <w:lang w:val="es-CR"/>
              </w:rPr>
            </w:pPr>
            <w:r w:rsidRPr="007458D8">
              <w:rPr>
                <w:rFonts w:ascii="Calibri" w:hAnsi="Calibri" w:cs="Calibri"/>
                <w:b/>
                <w:bCs/>
                <w:color w:val="000000"/>
                <w:sz w:val="20"/>
                <w:szCs w:val="20"/>
                <w:lang w:val="es-CR"/>
              </w:rPr>
              <w:t>Costo Total / TM</w:t>
            </w:r>
          </w:p>
        </w:tc>
        <w:tc>
          <w:tcPr>
            <w:tcW w:w="533"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607"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607"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566"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20"/>
                <w:szCs w:val="20"/>
                <w:lang w:val="es-CR"/>
              </w:rPr>
            </w:pPr>
            <w:r w:rsidRPr="007458D8">
              <w:rPr>
                <w:rFonts w:ascii="Calibri" w:hAnsi="Calibri" w:cs="Calibri"/>
                <w:color w:val="000000"/>
                <w:sz w:val="20"/>
                <w:szCs w:val="20"/>
                <w:lang w:val="es-CR"/>
              </w:rPr>
              <w:t> </w:t>
            </w:r>
          </w:p>
        </w:tc>
        <w:tc>
          <w:tcPr>
            <w:tcW w:w="823"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20"/>
                <w:szCs w:val="20"/>
                <w:lang w:val="es-CR"/>
              </w:rPr>
            </w:pPr>
            <w:r w:rsidRPr="007458D8">
              <w:rPr>
                <w:rFonts w:ascii="Calibri" w:hAnsi="Calibri" w:cs="Calibri"/>
                <w:b/>
                <w:bCs/>
                <w:color w:val="000000"/>
                <w:sz w:val="20"/>
                <w:szCs w:val="20"/>
                <w:lang w:val="es-CR"/>
              </w:rPr>
              <w:t xml:space="preserve">                581,79   </w:t>
            </w:r>
          </w:p>
        </w:tc>
      </w:tr>
    </w:tbl>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rPr>
          <w:rFonts w:ascii="Arial" w:hAnsi="Arial" w:cs="Arial"/>
          <w:lang w:val="es-CR"/>
        </w:rPr>
      </w:pPr>
      <w:r w:rsidRPr="007458D8">
        <w:rPr>
          <w:rFonts w:ascii="Arial" w:hAnsi="Arial" w:cs="Arial"/>
          <w:lang w:val="es-CR"/>
        </w:rPr>
        <w:t xml:space="preserve">Se obtiene que el costo variable por tonelada métrica es de 581,79 colones, lo que representa un 1% del costo total y del precio final. </w:t>
      </w:r>
    </w:p>
    <w:p w:rsidR="007458D8" w:rsidRPr="007458D8" w:rsidRDefault="007458D8" w:rsidP="007458D8">
      <w:pPr>
        <w:spacing w:line="276" w:lineRule="auto"/>
        <w:rPr>
          <w:rFonts w:ascii="Arial" w:hAnsi="Arial" w:cs="Arial"/>
          <w:lang w:val="es-CR"/>
        </w:rPr>
      </w:pPr>
    </w:p>
    <w:p w:rsidR="00FD2F6E" w:rsidRDefault="00FD2F6E">
      <w:pPr>
        <w:rPr>
          <w:rFonts w:ascii="Arial" w:eastAsiaTheme="majorEastAsia" w:hAnsi="Arial" w:cstheme="majorBidi"/>
          <w:b/>
          <w:szCs w:val="26"/>
          <w:lang w:val="es-CR"/>
        </w:rPr>
      </w:pPr>
      <w:bookmarkStart w:id="105" w:name="_Toc34906773"/>
      <w:r>
        <w:rPr>
          <w:rFonts w:ascii="Arial" w:eastAsiaTheme="majorEastAsia" w:hAnsi="Arial" w:cstheme="majorBidi"/>
          <w:b/>
          <w:szCs w:val="26"/>
          <w:lang w:val="es-CR"/>
        </w:rPr>
        <w:br w:type="page"/>
      </w:r>
    </w:p>
    <w:p w:rsidR="007458D8" w:rsidRPr="007458D8" w:rsidRDefault="007458D8" w:rsidP="0088405B">
      <w:pPr>
        <w:pStyle w:val="Ttulo2"/>
        <w:rPr>
          <w:lang w:val="es-CR"/>
        </w:rPr>
      </w:pPr>
      <w:bookmarkStart w:id="106" w:name="_Toc35865822"/>
      <w:bookmarkStart w:id="107" w:name="_Toc63666223"/>
      <w:r w:rsidRPr="007458D8">
        <w:rPr>
          <w:lang w:val="es-CR"/>
        </w:rPr>
        <w:lastRenderedPageBreak/>
        <w:t>Costos fijos</w:t>
      </w:r>
      <w:bookmarkEnd w:id="105"/>
      <w:bookmarkEnd w:id="106"/>
      <w:bookmarkEnd w:id="107"/>
    </w:p>
    <w:p w:rsidR="007458D8" w:rsidRPr="007458D8" w:rsidRDefault="007458D8" w:rsidP="007458D8">
      <w:pPr>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En relación con los costos fijos, se presentan gastos administrativos, otros gastos, depreciaciones y financiamiento. El siguiente cuadro present</w:t>
      </w:r>
      <w:r w:rsidR="00FD2F6E">
        <w:rPr>
          <w:rFonts w:ascii="Arial" w:hAnsi="Arial" w:cs="Arial"/>
          <w:lang w:val="es-CR"/>
        </w:rPr>
        <w:t>a el desglose de dichos costos:</w:t>
      </w:r>
    </w:p>
    <w:p w:rsidR="007458D8" w:rsidRPr="007458D8" w:rsidRDefault="007458D8" w:rsidP="007458D8">
      <w:pPr>
        <w:rPr>
          <w:rFonts w:eastAsia="Calibri"/>
          <w:lang w:val="es-CR" w:eastAsia="en-US"/>
        </w:rPr>
      </w:pPr>
    </w:p>
    <w:p w:rsidR="007458D8" w:rsidRPr="007458D8" w:rsidRDefault="007458D8" w:rsidP="007458D8">
      <w:pPr>
        <w:rPr>
          <w:rFonts w:ascii="Arial" w:eastAsia="Calibri" w:hAnsi="Arial" w:cs="Arial"/>
          <w:bCs/>
          <w:lang w:val="es-CR" w:eastAsia="en-US"/>
        </w:rPr>
      </w:pPr>
    </w:p>
    <w:p w:rsidR="007458D8" w:rsidRPr="007458D8" w:rsidRDefault="007458D8" w:rsidP="007458D8">
      <w:pPr>
        <w:jc w:val="center"/>
        <w:rPr>
          <w:rFonts w:ascii="Arial" w:eastAsia="Calibri" w:hAnsi="Arial" w:cs="Arial"/>
          <w:bCs/>
          <w:lang w:val="es-CR" w:eastAsia="en-US"/>
        </w:rPr>
      </w:pPr>
      <w:bookmarkStart w:id="108" w:name="_Toc34744315"/>
      <w:bookmarkStart w:id="109" w:name="_Toc34744437"/>
      <w:bookmarkStart w:id="110" w:name="_Toc63666241"/>
      <w:r w:rsidRPr="007458D8">
        <w:rPr>
          <w:rFonts w:ascii="Arial" w:eastAsia="Calibri" w:hAnsi="Arial" w:cs="Arial"/>
          <w:bCs/>
          <w:lang w:val="es-CR" w:eastAsia="en-US"/>
        </w:rPr>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8</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Estimación de costos fijos</w:t>
      </w:r>
      <w:bookmarkEnd w:id="108"/>
      <w:bookmarkEnd w:id="109"/>
      <w:bookmarkEnd w:id="110"/>
    </w:p>
    <w:tbl>
      <w:tblPr>
        <w:tblW w:w="5000" w:type="pct"/>
        <w:tblCellMar>
          <w:left w:w="70" w:type="dxa"/>
          <w:right w:w="70" w:type="dxa"/>
        </w:tblCellMar>
        <w:tblLook w:val="04A0" w:firstRow="1" w:lastRow="0" w:firstColumn="1" w:lastColumn="0" w:noHBand="0" w:noVBand="1"/>
      </w:tblPr>
      <w:tblGrid>
        <w:gridCol w:w="2902"/>
        <w:gridCol w:w="452"/>
        <w:gridCol w:w="843"/>
        <w:gridCol w:w="959"/>
        <w:gridCol w:w="958"/>
        <w:gridCol w:w="1097"/>
        <w:gridCol w:w="1293"/>
      </w:tblGrid>
      <w:tr w:rsidR="007458D8" w:rsidRPr="007458D8" w:rsidTr="007458D8">
        <w:trPr>
          <w:trHeight w:val="930"/>
        </w:trPr>
        <w:tc>
          <w:tcPr>
            <w:tcW w:w="1731"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eastAsia="es-CR"/>
              </w:rPr>
            </w:pPr>
            <w:r w:rsidRPr="007458D8">
              <w:rPr>
                <w:rFonts w:ascii="Calibri" w:hAnsi="Calibri" w:cs="Calibri"/>
                <w:b/>
                <w:bCs/>
                <w:color w:val="000000"/>
                <w:sz w:val="18"/>
                <w:szCs w:val="18"/>
                <w:lang w:val="es-CR"/>
              </w:rPr>
              <w:t>DETALLE DEL COSTO</w:t>
            </w:r>
          </w:p>
        </w:tc>
        <w:tc>
          <w:tcPr>
            <w:tcW w:w="290"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rPr>
            </w:pPr>
            <w:r w:rsidRPr="007458D8">
              <w:rPr>
                <w:rFonts w:ascii="Calibri" w:hAnsi="Calibri" w:cs="Calibri"/>
                <w:b/>
                <w:bCs/>
                <w:color w:val="000000"/>
                <w:sz w:val="18"/>
                <w:szCs w:val="18"/>
                <w:lang w:val="es-CR"/>
              </w:rPr>
              <w:t>Unidades</w:t>
            </w:r>
          </w:p>
        </w:tc>
        <w:tc>
          <w:tcPr>
            <w:tcW w:w="555"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rPr>
            </w:pPr>
            <w:r w:rsidRPr="007458D8">
              <w:rPr>
                <w:rFonts w:ascii="Calibri" w:hAnsi="Calibri" w:cs="Calibri"/>
                <w:b/>
                <w:bCs/>
                <w:color w:val="000000"/>
                <w:sz w:val="18"/>
                <w:szCs w:val="18"/>
                <w:lang w:val="es-CR"/>
              </w:rPr>
              <w:t>Cant.Ciclos ANUAL</w:t>
            </w:r>
          </w:p>
        </w:tc>
        <w:tc>
          <w:tcPr>
            <w:tcW w:w="554"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rPr>
            </w:pPr>
            <w:r w:rsidRPr="007458D8">
              <w:rPr>
                <w:rFonts w:ascii="Calibri" w:hAnsi="Calibri" w:cs="Calibri"/>
                <w:b/>
                <w:bCs/>
                <w:color w:val="000000"/>
                <w:sz w:val="18"/>
                <w:szCs w:val="18"/>
                <w:lang w:val="es-CR"/>
              </w:rPr>
              <w:t>CONSUMO POR HECTAREA</w:t>
            </w:r>
          </w:p>
        </w:tc>
        <w:tc>
          <w:tcPr>
            <w:tcW w:w="635"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rPr>
            </w:pPr>
            <w:r w:rsidRPr="007458D8">
              <w:rPr>
                <w:rFonts w:ascii="Calibri" w:hAnsi="Calibri" w:cs="Calibri"/>
                <w:b/>
                <w:bCs/>
                <w:color w:val="000000"/>
                <w:sz w:val="18"/>
                <w:szCs w:val="18"/>
                <w:lang w:val="es-CR"/>
              </w:rPr>
              <w:t>COSTO UNITARIO</w:t>
            </w:r>
          </w:p>
        </w:tc>
        <w:tc>
          <w:tcPr>
            <w:tcW w:w="748" w:type="pct"/>
            <w:tcBorders>
              <w:top w:val="double" w:sz="6"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Calibri" w:hAnsi="Calibri" w:cs="Calibri"/>
                <w:b/>
                <w:bCs/>
                <w:color w:val="000000"/>
                <w:sz w:val="18"/>
                <w:szCs w:val="18"/>
                <w:lang w:val="es-CR"/>
              </w:rPr>
            </w:pPr>
            <w:r w:rsidRPr="007458D8">
              <w:rPr>
                <w:rFonts w:ascii="Calibri" w:hAnsi="Calibri" w:cs="Calibri"/>
                <w:b/>
                <w:bCs/>
                <w:color w:val="000000"/>
                <w:sz w:val="18"/>
                <w:szCs w:val="18"/>
                <w:lang w:val="es-CR"/>
              </w:rPr>
              <w:t>COSTO TOTAL POR HECTAREA</w:t>
            </w:r>
          </w:p>
        </w:tc>
      </w:tr>
      <w:tr w:rsidR="007458D8" w:rsidRPr="007458D8" w:rsidTr="007458D8">
        <w:trPr>
          <w:trHeight w:val="315"/>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vAlign w:val="center"/>
            <w:hideMark/>
          </w:tcPr>
          <w:p w:rsidR="007458D8" w:rsidRPr="007458D8" w:rsidRDefault="007458D8" w:rsidP="007458D8">
            <w:pPr>
              <w:jc w:val="cente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nil"/>
              <w:right w:val="nil"/>
            </w:tcBorders>
            <w:shd w:val="clear" w:color="000000" w:fill="FFFFFF"/>
            <w:vAlign w:val="center"/>
            <w:hideMark/>
          </w:tcPr>
          <w:p w:rsidR="007458D8" w:rsidRPr="007458D8" w:rsidRDefault="007458D8" w:rsidP="007458D8">
            <w:pPr>
              <w:jc w:val="cente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nil"/>
              <w:right w:val="nil"/>
            </w:tcBorders>
            <w:shd w:val="clear" w:color="000000" w:fill="FFFFFF"/>
            <w:vAlign w:val="center"/>
            <w:hideMark/>
          </w:tcPr>
          <w:p w:rsidR="007458D8" w:rsidRPr="007458D8" w:rsidRDefault="007458D8" w:rsidP="007458D8">
            <w:pPr>
              <w:jc w:val="cente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vAlign w:val="center"/>
            <w:hideMark/>
          </w:tcPr>
          <w:p w:rsidR="007458D8" w:rsidRPr="007458D8" w:rsidRDefault="007458D8" w:rsidP="007458D8">
            <w:pPr>
              <w:jc w:val="cente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nil"/>
              <w:right w:val="nil"/>
            </w:tcBorders>
            <w:shd w:val="clear" w:color="000000" w:fill="FFFFFF"/>
            <w:vAlign w:val="center"/>
            <w:hideMark/>
          </w:tcPr>
          <w:p w:rsidR="007458D8" w:rsidRPr="007458D8" w:rsidRDefault="007458D8" w:rsidP="007458D8">
            <w:pPr>
              <w:jc w:val="center"/>
              <w:rPr>
                <w:rFonts w:ascii="Calibri" w:hAnsi="Calibri" w:cs="Calibri"/>
                <w:color w:val="000000"/>
                <w:sz w:val="18"/>
                <w:szCs w:val="18"/>
                <w:lang w:val="es-CR"/>
              </w:rPr>
            </w:pPr>
            <w:r w:rsidRPr="007458D8">
              <w:rPr>
                <w:rFonts w:ascii="Calibri" w:hAnsi="Calibri" w:cs="Calibri"/>
                <w:color w:val="000000"/>
                <w:sz w:val="18"/>
                <w:szCs w:val="18"/>
                <w:lang w:val="es-CR"/>
              </w:rPr>
              <w:t> </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1. ADMINISTRACIÓN</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9.877,29</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Administración</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Mensual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0,03</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537.243,27</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8.954,05</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Contabilidad</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Mensual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0,07</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20.998,79</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699,96</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sz w:val="18"/>
                <w:szCs w:val="18"/>
                <w:lang w:val="es-CR"/>
              </w:rPr>
            </w:pPr>
            <w:r w:rsidRPr="007458D8">
              <w:rPr>
                <w:rFonts w:ascii="Calibri" w:hAnsi="Calibri" w:cs="Calibri"/>
                <w:sz w:val="18"/>
                <w:szCs w:val="18"/>
                <w:lang w:val="es-CR"/>
              </w:rPr>
              <w:t>Agua</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Mensual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0,07</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3.805,00</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126,83</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Electricidad</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Mensual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0,07</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2.893,20</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96,44</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2. OTROS GASTOS</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9.314,67</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Póliza Riesgo (INS)</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unidades</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8.954,05</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3,6%</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xml:space="preserve">                161,17   </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Impuesto territorial</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18.307,00</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xml:space="preserve">            9.153,50   </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xml:space="preserve">3. Depreciaciones </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17.487,50</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Bodegas con Baño 3x4m</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Anual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0,04</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3.720.000,00</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15.500,00</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Centro Acopio LOSA Concreto 3x5</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Anual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0,04</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477.000,00</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1.987,50</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r>
      <w:tr w:rsidR="007458D8" w:rsidRPr="007458D8" w:rsidTr="007458D8">
        <w:trPr>
          <w:trHeight w:val="300"/>
        </w:trPr>
        <w:tc>
          <w:tcPr>
            <w:tcW w:w="1731"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b/>
                <w:bCs/>
                <w:color w:val="000000"/>
                <w:sz w:val="18"/>
                <w:szCs w:val="18"/>
                <w:lang w:val="es-CR"/>
              </w:rPr>
            </w:pPr>
            <w:r w:rsidRPr="007458D8">
              <w:rPr>
                <w:rFonts w:ascii="Calibri" w:hAnsi="Calibri" w:cs="Calibri"/>
                <w:b/>
                <w:bCs/>
                <w:color w:val="000000"/>
                <w:sz w:val="18"/>
                <w:szCs w:val="18"/>
                <w:lang w:val="es-CR"/>
              </w:rPr>
              <w:t>4. Financiamiento</w:t>
            </w:r>
          </w:p>
        </w:tc>
        <w:tc>
          <w:tcPr>
            <w:tcW w:w="290"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nil"/>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Mensual</w:t>
            </w:r>
          </w:p>
        </w:tc>
        <w:tc>
          <w:tcPr>
            <w:tcW w:w="55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0,50</w:t>
            </w:r>
          </w:p>
        </w:tc>
        <w:tc>
          <w:tcPr>
            <w:tcW w:w="554"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782,70</w:t>
            </w:r>
          </w:p>
        </w:tc>
        <w:tc>
          <w:tcPr>
            <w:tcW w:w="748" w:type="pct"/>
            <w:tcBorders>
              <w:top w:val="nil"/>
              <w:left w:val="nil"/>
              <w:bottom w:val="nil"/>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391,35</w:t>
            </w:r>
          </w:p>
        </w:tc>
      </w:tr>
      <w:tr w:rsidR="007458D8" w:rsidRPr="007458D8" w:rsidTr="007458D8">
        <w:trPr>
          <w:trHeight w:val="315"/>
        </w:trPr>
        <w:tc>
          <w:tcPr>
            <w:tcW w:w="1731"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290"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r>
      <w:tr w:rsidR="007458D8" w:rsidRPr="007458D8" w:rsidTr="007458D8">
        <w:trPr>
          <w:trHeight w:val="330"/>
        </w:trPr>
        <w:tc>
          <w:tcPr>
            <w:tcW w:w="1731"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Otros costos fijos totales</w:t>
            </w:r>
          </w:p>
        </w:tc>
        <w:tc>
          <w:tcPr>
            <w:tcW w:w="290"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xml:space="preserve">          37.070,81   </w:t>
            </w:r>
          </w:p>
        </w:tc>
      </w:tr>
      <w:tr w:rsidR="007458D8" w:rsidRPr="007458D8" w:rsidTr="007458D8">
        <w:trPr>
          <w:trHeight w:val="330"/>
        </w:trPr>
        <w:tc>
          <w:tcPr>
            <w:tcW w:w="1731"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Otros costos fijos / TM</w:t>
            </w:r>
          </w:p>
        </w:tc>
        <w:tc>
          <w:tcPr>
            <w:tcW w:w="290"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488"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5"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55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635"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color w:val="000000"/>
                <w:sz w:val="18"/>
                <w:szCs w:val="18"/>
                <w:lang w:val="es-CR"/>
              </w:rPr>
            </w:pPr>
            <w:r w:rsidRPr="007458D8">
              <w:rPr>
                <w:rFonts w:ascii="Calibri" w:hAnsi="Calibri" w:cs="Calibri"/>
                <w:color w:val="000000"/>
                <w:sz w:val="18"/>
                <w:szCs w:val="18"/>
                <w:lang w:val="es-CR"/>
              </w:rPr>
              <w:t> </w:t>
            </w:r>
          </w:p>
        </w:tc>
        <w:tc>
          <w:tcPr>
            <w:tcW w:w="748"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right"/>
              <w:rPr>
                <w:rFonts w:ascii="Calibri" w:hAnsi="Calibri" w:cs="Calibri"/>
                <w:b/>
                <w:bCs/>
                <w:color w:val="000000"/>
                <w:sz w:val="18"/>
                <w:szCs w:val="18"/>
                <w:lang w:val="es-CR"/>
              </w:rPr>
            </w:pPr>
            <w:r w:rsidRPr="007458D8">
              <w:rPr>
                <w:rFonts w:ascii="Calibri" w:hAnsi="Calibri" w:cs="Calibri"/>
                <w:b/>
                <w:bCs/>
                <w:color w:val="000000"/>
                <w:sz w:val="18"/>
                <w:szCs w:val="18"/>
                <w:lang w:val="es-CR"/>
              </w:rPr>
              <w:t xml:space="preserve">            2.284,64   </w:t>
            </w:r>
          </w:p>
        </w:tc>
      </w:tr>
    </w:tbl>
    <w:p w:rsidR="007458D8" w:rsidRPr="007458D8" w:rsidRDefault="007458D8" w:rsidP="007458D8">
      <w:pPr>
        <w:spacing w:line="276" w:lineRule="auto"/>
        <w:jc w:val="both"/>
        <w:rPr>
          <w:rFonts w:ascii="Arial" w:hAnsi="Arial" w:cs="Arial"/>
          <w:lang w:val="es-CR"/>
        </w:rPr>
      </w:pPr>
    </w:p>
    <w:p w:rsidR="007458D8" w:rsidRPr="007458D8" w:rsidRDefault="007458D8" w:rsidP="007458D8">
      <w:pPr>
        <w:rPr>
          <w:lang w:val="es-CR"/>
        </w:rPr>
      </w:pPr>
    </w:p>
    <w:p w:rsidR="007458D8" w:rsidRDefault="007458D8" w:rsidP="003246A0">
      <w:pPr>
        <w:spacing w:line="276" w:lineRule="auto"/>
        <w:jc w:val="both"/>
        <w:rPr>
          <w:rFonts w:ascii="Arial" w:hAnsi="Arial" w:cs="Arial"/>
          <w:lang w:val="es-CR"/>
        </w:rPr>
      </w:pPr>
      <w:r w:rsidRPr="007458D8">
        <w:rPr>
          <w:rFonts w:ascii="Arial" w:hAnsi="Arial" w:cs="Arial"/>
          <w:lang w:val="es-CR"/>
        </w:rPr>
        <w:t xml:space="preserve">Se </w:t>
      </w:r>
      <w:r w:rsidR="00FD2F6E">
        <w:rPr>
          <w:rFonts w:ascii="Arial" w:hAnsi="Arial" w:cs="Arial"/>
          <w:lang w:val="es-CR"/>
        </w:rPr>
        <w:t xml:space="preserve">estima un costo total fijo de 2 </w:t>
      </w:r>
      <w:r w:rsidRPr="007458D8">
        <w:rPr>
          <w:rFonts w:ascii="Arial" w:hAnsi="Arial" w:cs="Arial"/>
          <w:lang w:val="es-CR"/>
        </w:rPr>
        <w:t>284,64 colones por tonelada métrica, lo que representa un 4% en razón del costo total y en razón del precio final. Seguidamente se explica a profundidad la composición del costo fijo:</w:t>
      </w:r>
    </w:p>
    <w:p w:rsidR="003246A0" w:rsidRDefault="003246A0" w:rsidP="003246A0">
      <w:pPr>
        <w:spacing w:line="276" w:lineRule="auto"/>
        <w:jc w:val="both"/>
        <w:rPr>
          <w:rFonts w:ascii="Arial" w:hAnsi="Arial" w:cs="Arial"/>
          <w:lang w:val="es-CR"/>
        </w:rPr>
      </w:pPr>
    </w:p>
    <w:p w:rsidR="003246A0" w:rsidRPr="003246A0" w:rsidRDefault="003246A0" w:rsidP="003246A0">
      <w:pPr>
        <w:spacing w:line="276" w:lineRule="auto"/>
        <w:jc w:val="both"/>
        <w:rPr>
          <w:rFonts w:ascii="Arial" w:hAnsi="Arial" w:cs="Arial"/>
          <w:lang w:val="es-CR"/>
        </w:rPr>
      </w:pPr>
    </w:p>
    <w:p w:rsidR="003246A0" w:rsidRPr="003246A0" w:rsidRDefault="007458D8" w:rsidP="003246A0">
      <w:pPr>
        <w:pStyle w:val="Ttulo3"/>
        <w:rPr>
          <w:lang w:val="es-CR"/>
        </w:rPr>
      </w:pPr>
      <w:bookmarkStart w:id="111" w:name="_Toc34906774"/>
      <w:bookmarkStart w:id="112" w:name="_Toc35865823"/>
      <w:bookmarkStart w:id="113" w:name="_Toc63666224"/>
      <w:r w:rsidRPr="007458D8">
        <w:rPr>
          <w:lang w:val="es-CR"/>
        </w:rPr>
        <w:lastRenderedPageBreak/>
        <w:t>Administración</w:t>
      </w:r>
      <w:bookmarkEnd w:id="111"/>
      <w:bookmarkEnd w:id="112"/>
      <w:bookmarkEnd w:id="113"/>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Se incluye el salario de un administrador, así como el pago por servicios de contabilidad. Adicionalmente, se incorporan los gastos en servicios básicos tales como electricidad y agua, al asumir que la finca debe contar con un servicio sanitario, como mínimo.</w:t>
      </w:r>
    </w:p>
    <w:p w:rsidR="007458D8" w:rsidRPr="007458D8" w:rsidRDefault="007458D8" w:rsidP="007458D8">
      <w:pPr>
        <w:keepNext/>
        <w:keepLines/>
        <w:spacing w:before="40" w:line="276" w:lineRule="auto"/>
        <w:jc w:val="both"/>
        <w:outlineLvl w:val="2"/>
        <w:rPr>
          <w:rFonts w:ascii="Arial" w:hAnsi="Arial" w:cs="Arial"/>
          <w:lang w:val="es-CR"/>
        </w:rPr>
      </w:pPr>
    </w:p>
    <w:p w:rsidR="007458D8" w:rsidRPr="007458D8" w:rsidRDefault="007458D8" w:rsidP="0088405B">
      <w:pPr>
        <w:pStyle w:val="Ttulo3"/>
        <w:rPr>
          <w:lang w:val="es-CR"/>
        </w:rPr>
      </w:pPr>
      <w:bookmarkStart w:id="114" w:name="_Toc34906775"/>
      <w:bookmarkStart w:id="115" w:name="_Toc35865824"/>
      <w:bookmarkStart w:id="116" w:name="_Toc63666225"/>
      <w:r w:rsidRPr="007458D8">
        <w:rPr>
          <w:lang w:val="es-CR"/>
        </w:rPr>
        <w:t>Otros gastos</w:t>
      </w:r>
      <w:bookmarkEnd w:id="114"/>
      <w:bookmarkEnd w:id="115"/>
      <w:bookmarkEnd w:id="116"/>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En este grupo de gastos se incluyen lo referente a la póliza del seguro y el impuesto territorial de la finca.</w:t>
      </w:r>
    </w:p>
    <w:p w:rsidR="007458D8" w:rsidRPr="007458D8" w:rsidRDefault="007458D8" w:rsidP="007458D8">
      <w:pPr>
        <w:keepNext/>
        <w:keepLines/>
        <w:spacing w:before="40" w:line="276" w:lineRule="auto"/>
        <w:outlineLvl w:val="2"/>
        <w:rPr>
          <w:rFonts w:asciiTheme="majorHAnsi" w:eastAsiaTheme="majorEastAsia" w:hAnsiTheme="majorHAnsi" w:cstheme="majorBidi"/>
          <w:b/>
          <w:lang w:val="es-CR"/>
        </w:rPr>
      </w:pPr>
    </w:p>
    <w:p w:rsidR="007458D8" w:rsidRPr="007458D8" w:rsidRDefault="007458D8" w:rsidP="0088405B">
      <w:pPr>
        <w:pStyle w:val="Ttulo3"/>
        <w:rPr>
          <w:lang w:val="es-CR"/>
        </w:rPr>
      </w:pPr>
      <w:bookmarkStart w:id="117" w:name="_Toc34906776"/>
      <w:bookmarkStart w:id="118" w:name="_Toc35865825"/>
      <w:bookmarkStart w:id="119" w:name="_Toc63666226"/>
      <w:r w:rsidRPr="007458D8">
        <w:rPr>
          <w:lang w:val="es-CR"/>
        </w:rPr>
        <w:t>Depreciaciones</w:t>
      </w:r>
      <w:bookmarkEnd w:id="117"/>
      <w:bookmarkEnd w:id="118"/>
      <w:bookmarkEnd w:id="119"/>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El costo por depreciación se aplica a los principales activos que se requieren en la producción de palma aceitera: la bodega con baño y el centro de acopio.</w:t>
      </w:r>
    </w:p>
    <w:p w:rsidR="007458D8" w:rsidRPr="007458D8" w:rsidRDefault="007458D8" w:rsidP="007458D8">
      <w:pPr>
        <w:keepNext/>
        <w:keepLines/>
        <w:spacing w:before="40" w:line="276" w:lineRule="auto"/>
        <w:jc w:val="both"/>
        <w:outlineLvl w:val="2"/>
        <w:rPr>
          <w:rFonts w:ascii="Arial" w:hAnsi="Arial" w:cs="Arial"/>
          <w:lang w:val="es-CR"/>
        </w:rPr>
      </w:pPr>
    </w:p>
    <w:p w:rsidR="007458D8" w:rsidRPr="007458D8" w:rsidRDefault="007458D8" w:rsidP="0088405B">
      <w:pPr>
        <w:pStyle w:val="Ttulo3"/>
        <w:rPr>
          <w:lang w:val="es-CR"/>
        </w:rPr>
      </w:pPr>
      <w:bookmarkStart w:id="120" w:name="_Toc34906777"/>
      <w:bookmarkStart w:id="121" w:name="_Toc35865826"/>
      <w:bookmarkStart w:id="122" w:name="_Toc63666227"/>
      <w:r w:rsidRPr="007458D8">
        <w:rPr>
          <w:lang w:val="es-CR"/>
        </w:rPr>
        <w:t>Financiamiento</w:t>
      </w:r>
      <w:bookmarkEnd w:id="120"/>
      <w:bookmarkEnd w:id="121"/>
      <w:bookmarkEnd w:id="122"/>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Para contemplar costos por financiamiento se define como el monto a financiar lo correspondiente a las actividades, materiales y otros gastos en los que se incurre en el primer año. Con esto se obtiene una cuota de financiamiento de 803,29 colones por tonelada métrica con una tasa de interés activa para el sector agricultura del 11,14% según datos del Banco Central.</w:t>
      </w:r>
    </w:p>
    <w:p w:rsidR="007458D8" w:rsidRPr="007458D8" w:rsidRDefault="007458D8" w:rsidP="007458D8">
      <w:pPr>
        <w:spacing w:line="276" w:lineRule="auto"/>
        <w:rPr>
          <w:lang w:val="es-CR"/>
        </w:rPr>
      </w:pPr>
    </w:p>
    <w:p w:rsidR="007458D8" w:rsidRPr="007458D8" w:rsidRDefault="007458D8" w:rsidP="0088405B">
      <w:pPr>
        <w:pStyle w:val="Ttulo2"/>
        <w:rPr>
          <w:lang w:val="es-CR"/>
        </w:rPr>
      </w:pPr>
      <w:bookmarkStart w:id="123" w:name="_Toc34906778"/>
      <w:bookmarkStart w:id="124" w:name="_Toc35865827"/>
      <w:bookmarkStart w:id="125" w:name="_Toc63666228"/>
      <w:r w:rsidRPr="007458D8">
        <w:rPr>
          <w:lang w:val="es-CR"/>
        </w:rPr>
        <w:t>Costo de capital</w:t>
      </w:r>
      <w:bookmarkEnd w:id="123"/>
      <w:bookmarkEnd w:id="124"/>
      <w:bookmarkEnd w:id="125"/>
    </w:p>
    <w:p w:rsidR="007458D8" w:rsidRPr="007458D8" w:rsidRDefault="007458D8" w:rsidP="007458D8">
      <w:pPr>
        <w:spacing w:line="276" w:lineRule="auto"/>
        <w:rPr>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El costo de capital se define como “</w:t>
      </w:r>
      <w:r w:rsidRPr="007458D8">
        <w:rPr>
          <w:rFonts w:ascii="Arial" w:hAnsi="Arial" w:cs="Arial"/>
          <w:i/>
          <w:lang w:val="es-CR"/>
        </w:rPr>
        <w:t>aquella tasa que se utiliza para determinar el valor actual de los flujos futuros que genera un proyecto y representa la rentabilidad que debe exigírsele a la inversión por renunciar a un uso alternativo de los recursos en proyectos similares</w:t>
      </w:r>
      <w:r w:rsidRPr="007458D8">
        <w:rPr>
          <w:rFonts w:ascii="Arial" w:hAnsi="Arial" w:cs="Arial"/>
          <w:lang w:val="es-CR"/>
        </w:rPr>
        <w:t>” (Sapag et al, 2014), para obtener el margen de utilidad en el presente modelo se utilizara la siguiente metodología:</w:t>
      </w:r>
    </w:p>
    <w:p w:rsidR="007458D8" w:rsidRPr="007458D8" w:rsidRDefault="007458D8" w:rsidP="007458D8">
      <w:pPr>
        <w:spacing w:line="276" w:lineRule="auto"/>
        <w:rPr>
          <w:lang w:val="es-CR"/>
        </w:rPr>
      </w:pPr>
      <w:r w:rsidRPr="007458D8">
        <w:rPr>
          <w:noProof/>
          <w:lang w:val="es-CR" w:eastAsia="es-CR"/>
        </w:rPr>
        <mc:AlternateContent>
          <mc:Choice Requires="wps">
            <w:drawing>
              <wp:anchor distT="0" distB="0" distL="114300" distR="114300" simplePos="0" relativeHeight="251661312" behindDoc="0" locked="0" layoutInCell="1" allowOverlap="1" wp14:anchorId="61E01B73" wp14:editId="6D89F120">
                <wp:simplePos x="0" y="0"/>
                <wp:positionH relativeFrom="column">
                  <wp:posOffset>1124585</wp:posOffset>
                </wp:positionH>
                <wp:positionV relativeFrom="paragraph">
                  <wp:posOffset>81915</wp:posOffset>
                </wp:positionV>
                <wp:extent cx="3638550" cy="42862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3638550" cy="42862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90676" id="Rectángulo 19" o:spid="_x0000_s1026" style="position:absolute;margin-left:88.55pt;margin-top:6.45pt;width:286.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" filled="f" strokecolor="windowText" strokeweight=".25pt"/>
            </w:pict>
          </mc:Fallback>
        </mc:AlternateContent>
      </w:r>
    </w:p>
    <w:p w:rsidR="007458D8" w:rsidRPr="007458D8" w:rsidRDefault="007458D8" w:rsidP="007458D8">
      <w:pPr>
        <w:spacing w:line="276" w:lineRule="auto"/>
        <w:jc w:val="center"/>
        <w:rPr>
          <w:lang w:val="es-CR"/>
        </w:rPr>
      </w:pPr>
      <w:r w:rsidRPr="007458D8">
        <w:rPr>
          <w:lang w:val="es-CR"/>
        </w:rPr>
        <w:t xml:space="preserve">        Tasa libre de riesgo + Premio riesgo de la actividad</w:t>
      </w:r>
    </w:p>
    <w:p w:rsidR="007458D8" w:rsidRPr="007458D8" w:rsidRDefault="007458D8" w:rsidP="007458D8">
      <w:pPr>
        <w:spacing w:line="276" w:lineRule="auto"/>
        <w:rPr>
          <w:lang w:val="es-CR"/>
        </w:rPr>
      </w:pP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La tasa libre de riesgo corresponde a la tasa básica pasiva promedio ponderada del Sistema Financiero Nacional para los últimos 5 años. Por su parte, el premio por riesgo es la media observada históricamente entre la rentabilidad del mercado, para lo cual se empleó la tasa activa para agricultura en Banca Estatal, y la tasa libre de riesgo.</w:t>
      </w:r>
    </w:p>
    <w:p w:rsidR="007458D8" w:rsidRPr="007458D8" w:rsidRDefault="007458D8" w:rsidP="007458D8">
      <w:pPr>
        <w:jc w:val="both"/>
        <w:rPr>
          <w:rFonts w:ascii="Arial" w:hAnsi="Arial" w:cs="Arial"/>
          <w:lang w:val="es-CR"/>
        </w:rPr>
      </w:pPr>
    </w:p>
    <w:p w:rsidR="007458D8" w:rsidRPr="007458D8" w:rsidRDefault="007458D8" w:rsidP="007458D8">
      <w:pPr>
        <w:jc w:val="both"/>
        <w:rPr>
          <w:rFonts w:ascii="Arial" w:hAnsi="Arial" w:cs="Arial"/>
          <w:lang w:val="es-CR"/>
        </w:rPr>
      </w:pPr>
      <w:r w:rsidRPr="007458D8">
        <w:rPr>
          <w:rFonts w:ascii="Arial" w:hAnsi="Arial" w:cs="Arial"/>
          <w:lang w:val="es-CR"/>
        </w:rPr>
        <w:t>En la siguiente tabla se presenta el cálculo para obtener el premio por riesgo.</w:t>
      </w:r>
    </w:p>
    <w:p w:rsidR="007458D8" w:rsidRPr="007458D8" w:rsidRDefault="007458D8" w:rsidP="007458D8">
      <w:pPr>
        <w:spacing w:line="276" w:lineRule="auto"/>
        <w:jc w:val="both"/>
        <w:rPr>
          <w:rFonts w:ascii="Arial" w:hAnsi="Arial" w:cs="Arial"/>
          <w:lang w:val="es-CR"/>
        </w:rPr>
      </w:pPr>
    </w:p>
    <w:p w:rsidR="007458D8" w:rsidRPr="007458D8" w:rsidRDefault="007458D8" w:rsidP="007458D8">
      <w:pPr>
        <w:jc w:val="center"/>
        <w:rPr>
          <w:rFonts w:ascii="Arial" w:eastAsia="Calibri" w:hAnsi="Arial" w:cs="Arial"/>
          <w:bCs/>
          <w:lang w:val="es-CR" w:eastAsia="en-US"/>
        </w:rPr>
      </w:pPr>
      <w:bookmarkStart w:id="126" w:name="_Toc34744316"/>
      <w:bookmarkStart w:id="127" w:name="_Toc34744438"/>
      <w:bookmarkStart w:id="128" w:name="_Toc63666242"/>
      <w:r w:rsidRPr="007458D8">
        <w:rPr>
          <w:rFonts w:ascii="Arial" w:eastAsia="Calibri" w:hAnsi="Arial" w:cs="Arial"/>
          <w:bCs/>
          <w:lang w:val="es-CR" w:eastAsia="en-US"/>
        </w:rPr>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9</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Cálculo del costo de capital</w:t>
      </w:r>
      <w:bookmarkEnd w:id="126"/>
      <w:bookmarkEnd w:id="127"/>
      <w:bookmarkEnd w:id="128"/>
    </w:p>
    <w:tbl>
      <w:tblPr>
        <w:tblW w:w="5000" w:type="pct"/>
        <w:tblCellMar>
          <w:left w:w="70" w:type="dxa"/>
          <w:right w:w="70" w:type="dxa"/>
        </w:tblCellMar>
        <w:tblLook w:val="04A0" w:firstRow="1" w:lastRow="0" w:firstColumn="1" w:lastColumn="0" w:noHBand="0" w:noVBand="1"/>
      </w:tblPr>
      <w:tblGrid>
        <w:gridCol w:w="1742"/>
        <w:gridCol w:w="1708"/>
        <w:gridCol w:w="1335"/>
        <w:gridCol w:w="1301"/>
        <w:gridCol w:w="1245"/>
        <w:gridCol w:w="1163"/>
      </w:tblGrid>
      <w:tr w:rsidR="007458D8" w:rsidRPr="007458D8" w:rsidTr="007458D8">
        <w:trPr>
          <w:trHeight w:val="765"/>
        </w:trPr>
        <w:tc>
          <w:tcPr>
            <w:tcW w:w="10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58D8" w:rsidRPr="007458D8" w:rsidRDefault="007458D8" w:rsidP="007458D8">
            <w:pPr>
              <w:jc w:val="center"/>
              <w:rPr>
                <w:rFonts w:ascii="Arial" w:hAnsi="Arial" w:cs="Arial"/>
                <w:b/>
                <w:bCs/>
                <w:sz w:val="20"/>
                <w:szCs w:val="20"/>
                <w:lang w:val="es-CR" w:eastAsia="es-CR"/>
              </w:rPr>
            </w:pPr>
            <w:r w:rsidRPr="007458D8">
              <w:rPr>
                <w:rFonts w:ascii="Arial" w:hAnsi="Arial" w:cs="Arial"/>
                <w:b/>
                <w:bCs/>
                <w:sz w:val="20"/>
                <w:szCs w:val="20"/>
                <w:lang w:val="es-CR"/>
              </w:rPr>
              <w:t>Año</w:t>
            </w:r>
          </w:p>
        </w:tc>
        <w:tc>
          <w:tcPr>
            <w:tcW w:w="1008" w:type="pct"/>
            <w:tcBorders>
              <w:top w:val="single" w:sz="4" w:space="0" w:color="auto"/>
              <w:left w:val="nil"/>
              <w:bottom w:val="single" w:sz="4" w:space="0" w:color="auto"/>
              <w:right w:val="single" w:sz="4" w:space="0" w:color="auto"/>
            </w:tcBorders>
            <w:shd w:val="clear" w:color="000000" w:fill="FFFFFF"/>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Recibo de fruta TM</w:t>
            </w:r>
          </w:p>
        </w:tc>
        <w:tc>
          <w:tcPr>
            <w:tcW w:w="788" w:type="pct"/>
            <w:tcBorders>
              <w:top w:val="single" w:sz="4" w:space="0" w:color="auto"/>
              <w:left w:val="nil"/>
              <w:bottom w:val="single" w:sz="4" w:space="0" w:color="auto"/>
              <w:right w:val="single" w:sz="4" w:space="0" w:color="auto"/>
            </w:tcBorders>
            <w:shd w:val="clear" w:color="000000" w:fill="FFFFFF"/>
            <w:vAlign w:val="center"/>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wi</w:t>
            </w:r>
          </w:p>
        </w:tc>
        <w:tc>
          <w:tcPr>
            <w:tcW w:w="768" w:type="pct"/>
            <w:tcBorders>
              <w:top w:val="single" w:sz="4" w:space="0" w:color="auto"/>
              <w:left w:val="nil"/>
              <w:bottom w:val="single" w:sz="4" w:space="0" w:color="auto"/>
              <w:right w:val="single" w:sz="4" w:space="0" w:color="auto"/>
            </w:tcBorders>
            <w:shd w:val="clear" w:color="000000" w:fill="FFFFFF"/>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Tasa Activa Agricultura</w:t>
            </w:r>
          </w:p>
        </w:tc>
        <w:tc>
          <w:tcPr>
            <w:tcW w:w="735" w:type="pct"/>
            <w:tcBorders>
              <w:top w:val="single" w:sz="4" w:space="0" w:color="auto"/>
              <w:left w:val="nil"/>
              <w:bottom w:val="single" w:sz="4" w:space="0" w:color="auto"/>
              <w:right w:val="single" w:sz="4" w:space="0" w:color="auto"/>
            </w:tcBorders>
            <w:shd w:val="clear" w:color="000000" w:fill="FFFFFF"/>
            <w:vAlign w:val="center"/>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TLR (TBP)*</w:t>
            </w:r>
          </w:p>
        </w:tc>
        <w:tc>
          <w:tcPr>
            <w:tcW w:w="673" w:type="pct"/>
            <w:tcBorders>
              <w:top w:val="single" w:sz="4" w:space="0" w:color="auto"/>
              <w:left w:val="nil"/>
              <w:bottom w:val="single" w:sz="4" w:space="0" w:color="auto"/>
              <w:right w:val="single" w:sz="4" w:space="0" w:color="auto"/>
            </w:tcBorders>
            <w:shd w:val="clear" w:color="000000" w:fill="FFFFFF"/>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Premio por riesgo ponderada</w:t>
            </w: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2011</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0,00%</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color w:val="FF0000"/>
                <w:sz w:val="20"/>
                <w:szCs w:val="20"/>
                <w:lang w:val="es-CR"/>
              </w:rPr>
            </w:pP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2012</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1.048.581,21</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13,56%</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18,08%</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9,67%</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2013</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1.009.614,97</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13,05%</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14,64%</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6,95%</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2014</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942.517,09</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12,19%</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15,00%</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6,89%</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2015</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1.088.199,24</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14,07%</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13,93%</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6,73%</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2016</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1.062.265,84</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13,74%</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11,55%</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5,18%</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2017</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1.279.733,10</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16,55%</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11,06%</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5,24%</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Tahoma" w:hAnsi="Tahoma" w:cs="Tahoma"/>
                <w:sz w:val="20"/>
                <w:szCs w:val="20"/>
                <w:lang w:val="es-CR"/>
              </w:rPr>
            </w:pPr>
            <w:r w:rsidRPr="007458D8">
              <w:rPr>
                <w:rFonts w:ascii="Tahoma" w:hAnsi="Tahoma" w:cs="Tahoma"/>
                <w:sz w:val="20"/>
                <w:szCs w:val="20"/>
                <w:lang w:val="es-CR"/>
              </w:rPr>
              <w:t>2018</w:t>
            </w: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1.302.780,08</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16,85%</w:t>
            </w:r>
          </w:p>
        </w:tc>
        <w:tc>
          <w:tcPr>
            <w:tcW w:w="76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11,14%</w:t>
            </w:r>
          </w:p>
        </w:tc>
        <w:tc>
          <w:tcPr>
            <w:tcW w:w="735"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5,92%</w:t>
            </w:r>
          </w:p>
        </w:tc>
        <w:tc>
          <w:tcPr>
            <w:tcW w:w="673"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p>
        </w:tc>
      </w:tr>
      <w:tr w:rsidR="007458D8" w:rsidRPr="007458D8" w:rsidTr="007458D8">
        <w:trPr>
          <w:trHeight w:val="255"/>
        </w:trPr>
        <w:tc>
          <w:tcPr>
            <w:tcW w:w="1028" w:type="pct"/>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b/>
                <w:bCs/>
                <w:sz w:val="20"/>
                <w:szCs w:val="20"/>
                <w:lang w:val="es-CR"/>
              </w:rPr>
            </w:pPr>
          </w:p>
        </w:tc>
        <w:tc>
          <w:tcPr>
            <w:tcW w:w="100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7.733.691,53</w:t>
            </w:r>
          </w:p>
        </w:tc>
        <w:tc>
          <w:tcPr>
            <w:tcW w:w="788" w:type="pct"/>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100,00%</w:t>
            </w:r>
          </w:p>
        </w:tc>
        <w:tc>
          <w:tcPr>
            <w:tcW w:w="768" w:type="pct"/>
            <w:tcBorders>
              <w:top w:val="nil"/>
              <w:left w:val="nil"/>
              <w:bottom w:val="single" w:sz="4" w:space="0" w:color="auto"/>
              <w:right w:val="single" w:sz="4" w:space="0" w:color="auto"/>
            </w:tcBorders>
            <w:shd w:val="clear" w:color="000000" w:fill="92CDDC"/>
            <w:noWrap/>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13,24%</w:t>
            </w:r>
          </w:p>
        </w:tc>
        <w:tc>
          <w:tcPr>
            <w:tcW w:w="735" w:type="pct"/>
            <w:tcBorders>
              <w:top w:val="nil"/>
              <w:left w:val="nil"/>
              <w:bottom w:val="single" w:sz="4" w:space="0" w:color="auto"/>
              <w:right w:val="single" w:sz="4" w:space="0" w:color="auto"/>
            </w:tcBorders>
            <w:shd w:val="clear" w:color="000000" w:fill="92CDDC"/>
            <w:noWrap/>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6,45%</w:t>
            </w:r>
          </w:p>
        </w:tc>
        <w:tc>
          <w:tcPr>
            <w:tcW w:w="673" w:type="pct"/>
            <w:tcBorders>
              <w:top w:val="nil"/>
              <w:left w:val="nil"/>
              <w:bottom w:val="single" w:sz="4" w:space="0" w:color="auto"/>
              <w:right w:val="single" w:sz="4" w:space="0" w:color="auto"/>
            </w:tcBorders>
            <w:shd w:val="clear" w:color="000000" w:fill="92CDDC"/>
            <w:noWrap/>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6,79%</w:t>
            </w:r>
          </w:p>
        </w:tc>
      </w:tr>
    </w:tbl>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Por tanto, con un premio por riesgo del 6,79% y utilizando una tasa libre de riesgo de 5,92% según el año 2018, se reconoce un margen de utilidad del 12,71% sobre el costo total.</w:t>
      </w:r>
    </w:p>
    <w:p w:rsidR="007458D8" w:rsidRPr="007458D8" w:rsidRDefault="007458D8" w:rsidP="007458D8">
      <w:pPr>
        <w:rPr>
          <w:lang w:val="es-CR"/>
        </w:rPr>
      </w:pPr>
    </w:p>
    <w:p w:rsidR="007458D8" w:rsidRPr="007458D8" w:rsidRDefault="007458D8" w:rsidP="007458D8">
      <w:pPr>
        <w:jc w:val="center"/>
        <w:rPr>
          <w:rFonts w:ascii="Arial" w:hAnsi="Arial" w:cs="Arial"/>
          <w:bCs/>
          <w:sz w:val="20"/>
          <w:szCs w:val="20"/>
          <w:lang w:val="es-CR"/>
        </w:rPr>
      </w:pPr>
      <w:bookmarkStart w:id="129" w:name="_Toc34744317"/>
      <w:bookmarkStart w:id="130" w:name="_Toc34744439"/>
      <w:bookmarkStart w:id="131" w:name="_Toc63666243"/>
      <w:r w:rsidRPr="007458D8">
        <w:rPr>
          <w:rFonts w:ascii="Arial" w:eastAsia="Calibri" w:hAnsi="Arial" w:cs="Arial"/>
          <w:bCs/>
          <w:lang w:val="es-CR" w:eastAsia="en-US"/>
        </w:rPr>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10</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Costo del capital</w:t>
      </w:r>
      <w:bookmarkEnd w:id="129"/>
      <w:bookmarkEnd w:id="130"/>
      <w:bookmarkEnd w:id="131"/>
    </w:p>
    <w:tbl>
      <w:tblPr>
        <w:tblW w:w="3920" w:type="dxa"/>
        <w:jc w:val="center"/>
        <w:tblCellMar>
          <w:left w:w="70" w:type="dxa"/>
          <w:right w:w="70" w:type="dxa"/>
        </w:tblCellMar>
        <w:tblLook w:val="04A0" w:firstRow="1" w:lastRow="0" w:firstColumn="1" w:lastColumn="0" w:noHBand="0" w:noVBand="1"/>
      </w:tblPr>
      <w:tblGrid>
        <w:gridCol w:w="2208"/>
        <w:gridCol w:w="1712"/>
      </w:tblGrid>
      <w:tr w:rsidR="007458D8" w:rsidRPr="007458D8" w:rsidTr="007458D8">
        <w:trPr>
          <w:trHeight w:val="510"/>
          <w:jc w:val="center"/>
        </w:trPr>
        <w:tc>
          <w:tcPr>
            <w:tcW w:w="2208" w:type="dxa"/>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sz w:val="20"/>
                <w:szCs w:val="20"/>
                <w:lang w:val="es-CR" w:eastAsia="es-CR"/>
              </w:rPr>
            </w:pPr>
            <w:r w:rsidRPr="007458D8">
              <w:rPr>
                <w:rFonts w:ascii="Arial" w:hAnsi="Arial" w:cs="Arial"/>
                <w:sz w:val="20"/>
                <w:szCs w:val="20"/>
                <w:lang w:val="es-CR"/>
              </w:rPr>
              <w:t> </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Período 2017/2018</w:t>
            </w:r>
          </w:p>
        </w:tc>
      </w:tr>
      <w:tr w:rsidR="007458D8" w:rsidRPr="007458D8" w:rsidTr="007458D8">
        <w:trPr>
          <w:trHeight w:val="255"/>
          <w:jc w:val="center"/>
        </w:trPr>
        <w:tc>
          <w:tcPr>
            <w:tcW w:w="22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rPr>
                <w:rFonts w:ascii="Arial" w:hAnsi="Arial" w:cs="Arial"/>
                <w:sz w:val="20"/>
                <w:szCs w:val="20"/>
                <w:lang w:val="es-CR"/>
              </w:rPr>
            </w:pPr>
            <w:r w:rsidRPr="007458D8">
              <w:rPr>
                <w:rFonts w:ascii="Arial" w:hAnsi="Arial" w:cs="Arial"/>
                <w:sz w:val="20"/>
                <w:szCs w:val="20"/>
                <w:lang w:val="es-CR"/>
              </w:rPr>
              <w:t>Tasa libre riesgo</w:t>
            </w:r>
          </w:p>
        </w:tc>
        <w:tc>
          <w:tcPr>
            <w:tcW w:w="1712" w:type="dxa"/>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5,92%</w:t>
            </w:r>
          </w:p>
        </w:tc>
      </w:tr>
      <w:tr w:rsidR="007458D8" w:rsidRPr="007458D8" w:rsidTr="007458D8">
        <w:trPr>
          <w:trHeight w:val="255"/>
          <w:jc w:val="center"/>
        </w:trPr>
        <w:tc>
          <w:tcPr>
            <w:tcW w:w="2208" w:type="dxa"/>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rPr>
                <w:rFonts w:ascii="Arial" w:hAnsi="Arial" w:cs="Arial"/>
                <w:sz w:val="20"/>
                <w:szCs w:val="20"/>
                <w:lang w:val="es-CR"/>
              </w:rPr>
            </w:pPr>
            <w:r w:rsidRPr="007458D8">
              <w:rPr>
                <w:rFonts w:ascii="Arial" w:hAnsi="Arial" w:cs="Arial"/>
                <w:sz w:val="20"/>
                <w:szCs w:val="20"/>
                <w:lang w:val="es-CR"/>
              </w:rPr>
              <w:t>Premio por riesgo (b)</w:t>
            </w:r>
          </w:p>
        </w:tc>
        <w:tc>
          <w:tcPr>
            <w:tcW w:w="1712" w:type="dxa"/>
            <w:tcBorders>
              <w:top w:val="nil"/>
              <w:left w:val="nil"/>
              <w:bottom w:val="single" w:sz="4" w:space="0" w:color="auto"/>
              <w:right w:val="single" w:sz="4" w:space="0" w:color="auto"/>
            </w:tcBorders>
            <w:shd w:val="clear" w:color="000000" w:fill="FFFFFF"/>
            <w:noWrap/>
            <w:vAlign w:val="bottom"/>
            <w:hideMark/>
          </w:tcPr>
          <w:p w:rsidR="007458D8" w:rsidRPr="007458D8" w:rsidRDefault="007458D8" w:rsidP="007458D8">
            <w:pPr>
              <w:jc w:val="center"/>
              <w:rPr>
                <w:rFonts w:ascii="Arial" w:hAnsi="Arial" w:cs="Arial"/>
                <w:sz w:val="20"/>
                <w:szCs w:val="20"/>
                <w:lang w:val="es-CR"/>
              </w:rPr>
            </w:pPr>
            <w:r w:rsidRPr="007458D8">
              <w:rPr>
                <w:rFonts w:ascii="Arial" w:hAnsi="Arial" w:cs="Arial"/>
                <w:sz w:val="20"/>
                <w:szCs w:val="20"/>
                <w:lang w:val="es-CR"/>
              </w:rPr>
              <w:t>6,79%</w:t>
            </w:r>
          </w:p>
        </w:tc>
      </w:tr>
      <w:tr w:rsidR="007458D8" w:rsidRPr="007458D8" w:rsidTr="007458D8">
        <w:trPr>
          <w:trHeight w:val="255"/>
          <w:jc w:val="center"/>
        </w:trPr>
        <w:tc>
          <w:tcPr>
            <w:tcW w:w="2208" w:type="dxa"/>
            <w:tcBorders>
              <w:top w:val="nil"/>
              <w:left w:val="single" w:sz="4" w:space="0" w:color="auto"/>
              <w:bottom w:val="single" w:sz="4" w:space="0" w:color="auto"/>
              <w:right w:val="single" w:sz="4" w:space="0" w:color="auto"/>
            </w:tcBorders>
            <w:shd w:val="clear" w:color="000000" w:fill="FFFFFF"/>
            <w:noWrap/>
            <w:vAlign w:val="bottom"/>
            <w:hideMark/>
          </w:tcPr>
          <w:p w:rsidR="007458D8" w:rsidRPr="007458D8" w:rsidRDefault="007458D8" w:rsidP="007458D8">
            <w:pPr>
              <w:rPr>
                <w:rFonts w:ascii="Arial" w:hAnsi="Arial" w:cs="Arial"/>
                <w:sz w:val="20"/>
                <w:szCs w:val="20"/>
                <w:lang w:val="es-CR"/>
              </w:rPr>
            </w:pPr>
            <w:r w:rsidRPr="007458D8">
              <w:rPr>
                <w:rFonts w:ascii="Arial" w:hAnsi="Arial" w:cs="Arial"/>
                <w:sz w:val="20"/>
                <w:szCs w:val="20"/>
                <w:lang w:val="es-CR"/>
              </w:rPr>
              <w:t>Costo del capital (a+b)</w:t>
            </w:r>
          </w:p>
        </w:tc>
        <w:tc>
          <w:tcPr>
            <w:tcW w:w="1712" w:type="dxa"/>
            <w:tcBorders>
              <w:top w:val="nil"/>
              <w:left w:val="nil"/>
              <w:bottom w:val="single" w:sz="4" w:space="0" w:color="auto"/>
              <w:right w:val="single" w:sz="4" w:space="0" w:color="auto"/>
            </w:tcBorders>
            <w:shd w:val="clear" w:color="000000" w:fill="FABF8F"/>
            <w:noWrap/>
            <w:vAlign w:val="bottom"/>
            <w:hideMark/>
          </w:tcPr>
          <w:p w:rsidR="007458D8" w:rsidRPr="007458D8" w:rsidRDefault="007458D8" w:rsidP="007458D8">
            <w:pPr>
              <w:jc w:val="center"/>
              <w:rPr>
                <w:rFonts w:ascii="Arial" w:hAnsi="Arial" w:cs="Arial"/>
                <w:b/>
                <w:bCs/>
                <w:sz w:val="20"/>
                <w:szCs w:val="20"/>
                <w:lang w:val="es-CR"/>
              </w:rPr>
            </w:pPr>
            <w:r w:rsidRPr="007458D8">
              <w:rPr>
                <w:rFonts w:ascii="Arial" w:hAnsi="Arial" w:cs="Arial"/>
                <w:b/>
                <w:bCs/>
                <w:sz w:val="20"/>
                <w:szCs w:val="20"/>
                <w:lang w:val="es-CR"/>
              </w:rPr>
              <w:t>12,71%</w:t>
            </w:r>
          </w:p>
        </w:tc>
      </w:tr>
    </w:tbl>
    <w:p w:rsidR="007458D8" w:rsidRPr="007458D8" w:rsidRDefault="007458D8" w:rsidP="007458D8">
      <w:pPr>
        <w:spacing w:line="276" w:lineRule="auto"/>
        <w:jc w:val="both"/>
        <w:rPr>
          <w:rFonts w:ascii="Arial" w:hAnsi="Arial" w:cs="Arial"/>
          <w:lang w:val="es-CR"/>
        </w:rPr>
      </w:pPr>
    </w:p>
    <w:p w:rsidR="007458D8" w:rsidRPr="007458D8" w:rsidRDefault="007458D8" w:rsidP="007458D8">
      <w:pPr>
        <w:keepNext/>
        <w:keepLines/>
        <w:spacing w:before="40"/>
        <w:outlineLvl w:val="1"/>
        <w:rPr>
          <w:rFonts w:ascii="Arial" w:eastAsiaTheme="majorEastAsia" w:hAnsi="Arial" w:cstheme="majorBidi"/>
          <w:b/>
          <w:szCs w:val="26"/>
          <w:lang w:val="es-CR"/>
        </w:rPr>
      </w:pPr>
    </w:p>
    <w:p w:rsidR="007458D8" w:rsidRPr="007458D8" w:rsidRDefault="007458D8" w:rsidP="0088405B">
      <w:pPr>
        <w:pStyle w:val="Ttulo2"/>
        <w:rPr>
          <w:lang w:val="es-CR"/>
        </w:rPr>
      </w:pPr>
      <w:bookmarkStart w:id="132" w:name="_Toc34906779"/>
      <w:bookmarkStart w:id="133" w:name="_Toc35865828"/>
      <w:bookmarkStart w:id="134" w:name="_Toc63666229"/>
      <w:r w:rsidRPr="007458D8">
        <w:rPr>
          <w:lang w:val="es-CR"/>
        </w:rPr>
        <w:t>Actualización del precio</w:t>
      </w:r>
      <w:bookmarkEnd w:id="132"/>
      <w:bookmarkEnd w:id="133"/>
      <w:bookmarkEnd w:id="134"/>
    </w:p>
    <w:p w:rsidR="007458D8" w:rsidRPr="007458D8" w:rsidRDefault="007458D8" w:rsidP="007458D8">
      <w:pPr>
        <w:shd w:val="clear" w:color="auto" w:fill="FFFFFF" w:themeFill="background1"/>
        <w:rPr>
          <w:rFonts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Una vez actualizada la información para cada uno de los cuadros, se obtiene un costo total de 59.945,95 colones, lo cual al incluirle el costo del capital fijado a una tasa del 12,71% el precio que paga las industrias corresponde a 67.566,32 colones, es decir 116,46 dólares. Para mayor detalle el siguiente cuadro muestra el consolidado de los costos requeridos para la producción de palma aceitera, el rendimiento estimado y el precio final:</w:t>
      </w:r>
    </w:p>
    <w:p w:rsidR="007458D8" w:rsidRPr="007458D8" w:rsidRDefault="007458D8" w:rsidP="007458D8">
      <w:pPr>
        <w:spacing w:line="276" w:lineRule="auto"/>
        <w:jc w:val="both"/>
        <w:rPr>
          <w:rFonts w:ascii="Arial" w:hAnsi="Arial" w:cs="Arial"/>
          <w:lang w:val="es-CR"/>
        </w:rPr>
      </w:pPr>
    </w:p>
    <w:p w:rsidR="00FD2F6E" w:rsidRDefault="00FD2F6E">
      <w:pPr>
        <w:rPr>
          <w:rFonts w:ascii="Arial" w:eastAsia="Calibri" w:hAnsi="Arial" w:cs="Arial"/>
          <w:bCs/>
          <w:lang w:val="es-CR" w:eastAsia="en-US"/>
        </w:rPr>
      </w:pPr>
      <w:bookmarkStart w:id="135" w:name="_Toc34744318"/>
      <w:bookmarkStart w:id="136" w:name="_Toc34744440"/>
      <w:r>
        <w:rPr>
          <w:rFonts w:ascii="Arial" w:eastAsia="Calibri" w:hAnsi="Arial" w:cs="Arial"/>
          <w:bCs/>
          <w:lang w:val="es-CR" w:eastAsia="en-US"/>
        </w:rPr>
        <w:br w:type="page"/>
      </w:r>
    </w:p>
    <w:p w:rsidR="007458D8" w:rsidRDefault="007458D8" w:rsidP="007458D8">
      <w:pPr>
        <w:jc w:val="center"/>
        <w:rPr>
          <w:rFonts w:ascii="Arial" w:eastAsia="Calibri" w:hAnsi="Arial" w:cs="Arial"/>
          <w:bCs/>
          <w:lang w:val="es-CR" w:eastAsia="en-US"/>
        </w:rPr>
      </w:pPr>
      <w:bookmarkStart w:id="137" w:name="_Toc63666244"/>
      <w:r w:rsidRPr="007458D8">
        <w:rPr>
          <w:rFonts w:ascii="Arial" w:eastAsia="Calibri" w:hAnsi="Arial" w:cs="Arial"/>
          <w:bCs/>
          <w:lang w:val="es-CR" w:eastAsia="en-US"/>
        </w:rPr>
        <w:lastRenderedPageBreak/>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11</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Resumen y precio final de la palma aceitera.</w:t>
      </w:r>
      <w:bookmarkEnd w:id="135"/>
      <w:bookmarkEnd w:id="136"/>
      <w:bookmarkEnd w:id="137"/>
      <w:r w:rsidRPr="007458D8">
        <w:rPr>
          <w:rFonts w:ascii="Arial" w:eastAsia="Calibri" w:hAnsi="Arial" w:cs="Arial"/>
          <w:bCs/>
          <w:lang w:val="es-CR" w:eastAsia="en-US"/>
        </w:rPr>
        <w:t xml:space="preserve"> </w:t>
      </w:r>
    </w:p>
    <w:p w:rsidR="00FD2F6E" w:rsidRPr="007458D8" w:rsidRDefault="00FD2F6E" w:rsidP="007458D8">
      <w:pPr>
        <w:jc w:val="center"/>
        <w:rPr>
          <w:rFonts w:ascii="Arial" w:eastAsia="Calibri" w:hAnsi="Arial" w:cs="Arial"/>
          <w:bCs/>
          <w:lang w:val="es-CR" w:eastAsia="en-US"/>
        </w:rPr>
      </w:pPr>
    </w:p>
    <w:tbl>
      <w:tblPr>
        <w:tblW w:w="5180" w:type="pct"/>
        <w:tblInd w:w="-152" w:type="dxa"/>
        <w:tblCellMar>
          <w:left w:w="70" w:type="dxa"/>
          <w:right w:w="70" w:type="dxa"/>
        </w:tblCellMar>
        <w:tblLook w:val="04A0" w:firstRow="1" w:lastRow="0" w:firstColumn="1" w:lastColumn="0" w:noHBand="0" w:noVBand="1"/>
      </w:tblPr>
      <w:tblGrid>
        <w:gridCol w:w="2835"/>
        <w:gridCol w:w="413"/>
        <w:gridCol w:w="1147"/>
        <w:gridCol w:w="360"/>
        <w:gridCol w:w="1097"/>
        <w:gridCol w:w="1030"/>
        <w:gridCol w:w="763"/>
        <w:gridCol w:w="153"/>
        <w:gridCol w:w="991"/>
      </w:tblGrid>
      <w:tr w:rsidR="007458D8" w:rsidRPr="007458D8" w:rsidTr="007458D8">
        <w:trPr>
          <w:trHeight w:val="630"/>
        </w:trPr>
        <w:tc>
          <w:tcPr>
            <w:tcW w:w="1613" w:type="pct"/>
            <w:tcBorders>
              <w:top w:val="single" w:sz="4" w:space="0" w:color="auto"/>
              <w:left w:val="single" w:sz="8" w:space="0" w:color="auto"/>
              <w:bottom w:val="double" w:sz="6" w:space="0" w:color="auto"/>
              <w:right w:val="nil"/>
            </w:tcBorders>
            <w:shd w:val="clear" w:color="000000" w:fill="FFFFFF"/>
            <w:vAlign w:val="center"/>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Detalle del costo</w:t>
            </w:r>
          </w:p>
        </w:tc>
        <w:tc>
          <w:tcPr>
            <w:tcW w:w="887" w:type="pct"/>
            <w:gridSpan w:val="2"/>
            <w:tcBorders>
              <w:top w:val="single" w:sz="4"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829" w:type="pct"/>
            <w:gridSpan w:val="2"/>
            <w:tcBorders>
              <w:top w:val="single" w:sz="4"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Cuadro de referencia</w:t>
            </w:r>
          </w:p>
        </w:tc>
        <w:tc>
          <w:tcPr>
            <w:tcW w:w="586" w:type="pct"/>
            <w:tcBorders>
              <w:top w:val="single" w:sz="4"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Costo / TM</w:t>
            </w:r>
          </w:p>
        </w:tc>
        <w:tc>
          <w:tcPr>
            <w:tcW w:w="521" w:type="pct"/>
            <w:gridSpan w:val="2"/>
            <w:tcBorders>
              <w:top w:val="single" w:sz="4" w:space="0" w:color="auto"/>
              <w:left w:val="nil"/>
              <w:bottom w:val="double" w:sz="6" w:space="0" w:color="auto"/>
              <w:right w:val="nil"/>
            </w:tcBorders>
            <w:shd w:val="clear" w:color="000000" w:fill="FFFFFF"/>
            <w:vAlign w:val="center"/>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/Costo total</w:t>
            </w:r>
          </w:p>
        </w:tc>
        <w:tc>
          <w:tcPr>
            <w:tcW w:w="564" w:type="pct"/>
            <w:tcBorders>
              <w:top w:val="single" w:sz="4" w:space="0" w:color="auto"/>
              <w:left w:val="nil"/>
              <w:bottom w:val="double" w:sz="6" w:space="0" w:color="auto"/>
              <w:right w:val="single" w:sz="8" w:space="0" w:color="auto"/>
            </w:tcBorders>
            <w:shd w:val="clear" w:color="000000" w:fill="FFFFFF"/>
            <w:vAlign w:val="center"/>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 Precio</w:t>
            </w:r>
          </w:p>
        </w:tc>
      </w:tr>
      <w:tr w:rsidR="007458D8" w:rsidRPr="007458D8" w:rsidTr="007458D8">
        <w:trPr>
          <w:trHeight w:val="315"/>
        </w:trPr>
        <w:tc>
          <w:tcPr>
            <w:tcW w:w="1613" w:type="pct"/>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xml:space="preserve">Costo variable total </w:t>
            </w:r>
          </w:p>
        </w:tc>
        <w:tc>
          <w:tcPr>
            <w:tcW w:w="1092" w:type="pct"/>
            <w:gridSpan w:val="3"/>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57.661,31</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96%</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85%</w:t>
            </w:r>
          </w:p>
        </w:tc>
      </w:tr>
      <w:tr w:rsidR="007458D8" w:rsidRPr="007458D8" w:rsidTr="007458D8">
        <w:trPr>
          <w:trHeight w:val="300"/>
        </w:trPr>
        <w:tc>
          <w:tcPr>
            <w:tcW w:w="1613" w:type="pct"/>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Costo agrícola</w:t>
            </w:r>
          </w:p>
        </w:tc>
        <w:tc>
          <w:tcPr>
            <w:tcW w:w="1092" w:type="pct"/>
            <w:gridSpan w:val="3"/>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1</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57.079,51</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95%</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84%</w:t>
            </w:r>
          </w:p>
        </w:tc>
      </w:tr>
      <w:tr w:rsidR="007458D8" w:rsidRPr="007458D8" w:rsidTr="007458D8">
        <w:trPr>
          <w:trHeight w:val="300"/>
        </w:trPr>
        <w:tc>
          <w:tcPr>
            <w:tcW w:w="1613" w:type="pct"/>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Otros costos variables</w:t>
            </w:r>
          </w:p>
        </w:tc>
        <w:tc>
          <w:tcPr>
            <w:tcW w:w="1092" w:type="pct"/>
            <w:gridSpan w:val="3"/>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2</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581,79</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1%</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1%</w:t>
            </w:r>
          </w:p>
        </w:tc>
      </w:tr>
      <w:tr w:rsidR="007458D8" w:rsidRPr="007458D8" w:rsidTr="007458D8">
        <w:trPr>
          <w:trHeight w:val="300"/>
        </w:trPr>
        <w:tc>
          <w:tcPr>
            <w:tcW w:w="1613" w:type="pct"/>
            <w:tcBorders>
              <w:top w:val="nil"/>
              <w:left w:val="single" w:sz="8" w:space="0" w:color="auto"/>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1092" w:type="pct"/>
            <w:gridSpan w:val="3"/>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00"/>
        </w:trPr>
        <w:tc>
          <w:tcPr>
            <w:tcW w:w="1613" w:type="pct"/>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Costo fijo total</w:t>
            </w:r>
          </w:p>
        </w:tc>
        <w:tc>
          <w:tcPr>
            <w:tcW w:w="1092" w:type="pct"/>
            <w:gridSpan w:val="3"/>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3</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2.284,64</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4%</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3%</w:t>
            </w:r>
          </w:p>
        </w:tc>
      </w:tr>
      <w:tr w:rsidR="007458D8" w:rsidRPr="007458D8" w:rsidTr="007458D8">
        <w:trPr>
          <w:trHeight w:val="315"/>
        </w:trPr>
        <w:tc>
          <w:tcPr>
            <w:tcW w:w="1613" w:type="pct"/>
            <w:tcBorders>
              <w:top w:val="nil"/>
              <w:left w:val="single" w:sz="8" w:space="0" w:color="auto"/>
              <w:bottom w:val="double" w:sz="6" w:space="0" w:color="auto"/>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1092" w:type="pct"/>
            <w:gridSpan w:val="3"/>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43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double" w:sz="6" w:space="0" w:color="auto"/>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30"/>
        </w:trPr>
        <w:tc>
          <w:tcPr>
            <w:tcW w:w="1613" w:type="pct"/>
            <w:tcBorders>
              <w:top w:val="nil"/>
              <w:left w:val="single" w:sz="8" w:space="0" w:color="auto"/>
              <w:bottom w:val="double" w:sz="6" w:space="0" w:color="auto"/>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xml:space="preserve">COSTO TOTAL </w:t>
            </w:r>
          </w:p>
        </w:tc>
        <w:tc>
          <w:tcPr>
            <w:tcW w:w="1092" w:type="pct"/>
            <w:gridSpan w:val="3"/>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62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586"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59.945,95</w:t>
            </w:r>
          </w:p>
        </w:tc>
        <w:tc>
          <w:tcPr>
            <w:tcW w:w="43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100%</w:t>
            </w:r>
          </w:p>
        </w:tc>
        <w:tc>
          <w:tcPr>
            <w:tcW w:w="651" w:type="pct"/>
            <w:gridSpan w:val="2"/>
            <w:tcBorders>
              <w:top w:val="nil"/>
              <w:left w:val="nil"/>
              <w:bottom w:val="double" w:sz="6" w:space="0" w:color="auto"/>
              <w:right w:val="single" w:sz="8" w:space="0" w:color="auto"/>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89%</w:t>
            </w:r>
          </w:p>
        </w:tc>
      </w:tr>
      <w:tr w:rsidR="007458D8" w:rsidRPr="007458D8" w:rsidTr="007458D8">
        <w:trPr>
          <w:trHeight w:val="315"/>
        </w:trPr>
        <w:tc>
          <w:tcPr>
            <w:tcW w:w="1848" w:type="pct"/>
            <w:gridSpan w:val="2"/>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857" w:type="pct"/>
            <w:gridSpan w:val="2"/>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r>
      <w:tr w:rsidR="007458D8" w:rsidRPr="007458D8" w:rsidTr="007458D8">
        <w:trPr>
          <w:trHeight w:val="300"/>
        </w:trPr>
        <w:tc>
          <w:tcPr>
            <w:tcW w:w="1848" w:type="pct"/>
            <w:gridSpan w:val="2"/>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Costo del Capital (rentabilidad)</w:t>
            </w:r>
          </w:p>
        </w:tc>
        <w:tc>
          <w:tcPr>
            <w:tcW w:w="857" w:type="pct"/>
            <w:gridSpan w:val="2"/>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12,71%</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7.621,00</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15"/>
        </w:trPr>
        <w:tc>
          <w:tcPr>
            <w:tcW w:w="1848" w:type="pct"/>
            <w:gridSpan w:val="2"/>
            <w:tcBorders>
              <w:top w:val="nil"/>
              <w:left w:val="single" w:sz="8" w:space="0" w:color="auto"/>
              <w:bottom w:val="double" w:sz="6" w:space="0" w:color="auto"/>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857" w:type="pct"/>
            <w:gridSpan w:val="2"/>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62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586" w:type="pct"/>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43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c>
          <w:tcPr>
            <w:tcW w:w="651" w:type="pct"/>
            <w:gridSpan w:val="2"/>
            <w:tcBorders>
              <w:top w:val="nil"/>
              <w:left w:val="nil"/>
              <w:bottom w:val="double" w:sz="6" w:space="0" w:color="auto"/>
              <w:right w:val="single" w:sz="8" w:space="0" w:color="auto"/>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r>
      <w:tr w:rsidR="007458D8" w:rsidRPr="007458D8" w:rsidTr="007458D8">
        <w:trPr>
          <w:trHeight w:val="330"/>
        </w:trPr>
        <w:tc>
          <w:tcPr>
            <w:tcW w:w="1848" w:type="pct"/>
            <w:gridSpan w:val="2"/>
            <w:tcBorders>
              <w:top w:val="nil"/>
              <w:left w:val="single" w:sz="8" w:space="0" w:color="auto"/>
              <w:bottom w:val="double" w:sz="6"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Precio a industria Colones</w:t>
            </w:r>
          </w:p>
        </w:tc>
        <w:tc>
          <w:tcPr>
            <w:tcW w:w="857" w:type="pct"/>
            <w:gridSpan w:val="2"/>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67.566,95</w:t>
            </w:r>
          </w:p>
        </w:tc>
        <w:tc>
          <w:tcPr>
            <w:tcW w:w="43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double" w:sz="6" w:space="0" w:color="auto"/>
              <w:right w:val="single" w:sz="8" w:space="0" w:color="auto"/>
            </w:tcBorders>
            <w:shd w:val="clear" w:color="000000" w:fill="FFFFFF"/>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 </w:t>
            </w:r>
          </w:p>
        </w:tc>
      </w:tr>
      <w:tr w:rsidR="007458D8" w:rsidRPr="007458D8" w:rsidTr="007458D8">
        <w:trPr>
          <w:trHeight w:val="330"/>
        </w:trPr>
        <w:tc>
          <w:tcPr>
            <w:tcW w:w="1848" w:type="pct"/>
            <w:gridSpan w:val="2"/>
            <w:tcBorders>
              <w:top w:val="nil"/>
              <w:left w:val="single" w:sz="8" w:space="0" w:color="auto"/>
              <w:bottom w:val="double" w:sz="6"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Precio a industria Dólares</w:t>
            </w:r>
          </w:p>
        </w:tc>
        <w:tc>
          <w:tcPr>
            <w:tcW w:w="857" w:type="pct"/>
            <w:gridSpan w:val="2"/>
            <w:tcBorders>
              <w:top w:val="nil"/>
              <w:left w:val="nil"/>
              <w:bottom w:val="double" w:sz="6"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double" w:sz="6" w:space="0" w:color="auto"/>
              <w:right w:val="nil"/>
            </w:tcBorders>
            <w:shd w:val="clear" w:color="000000" w:fill="C5D9F1"/>
            <w:noWrap/>
            <w:vAlign w:val="bottom"/>
            <w:hideMark/>
          </w:tcPr>
          <w:p w:rsidR="007458D8" w:rsidRPr="007458D8" w:rsidRDefault="007458D8" w:rsidP="007458D8">
            <w:pPr>
              <w:jc w:val="center"/>
              <w:rPr>
                <w:rFonts w:ascii="Arial" w:hAnsi="Arial" w:cs="Arial"/>
                <w:b/>
                <w:bCs/>
                <w:color w:val="000000"/>
                <w:sz w:val="20"/>
                <w:szCs w:val="20"/>
                <w:lang w:val="es-CR" w:eastAsia="es-CR"/>
              </w:rPr>
            </w:pPr>
            <w:r w:rsidRPr="007458D8">
              <w:rPr>
                <w:rFonts w:ascii="Arial" w:hAnsi="Arial" w:cs="Arial"/>
                <w:b/>
                <w:bCs/>
                <w:color w:val="000000"/>
                <w:sz w:val="20"/>
                <w:szCs w:val="20"/>
                <w:lang w:val="es-CR" w:eastAsia="es-CR"/>
              </w:rPr>
              <w:t>116,46</w:t>
            </w:r>
          </w:p>
        </w:tc>
        <w:tc>
          <w:tcPr>
            <w:tcW w:w="434" w:type="pct"/>
            <w:tcBorders>
              <w:top w:val="nil"/>
              <w:left w:val="nil"/>
              <w:bottom w:val="double" w:sz="6"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double" w:sz="6" w:space="0" w:color="auto"/>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15"/>
        </w:trPr>
        <w:tc>
          <w:tcPr>
            <w:tcW w:w="1848" w:type="pct"/>
            <w:gridSpan w:val="2"/>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p>
        </w:tc>
        <w:tc>
          <w:tcPr>
            <w:tcW w:w="857" w:type="pct"/>
            <w:gridSpan w:val="2"/>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00"/>
        </w:trPr>
        <w:tc>
          <w:tcPr>
            <w:tcW w:w="1848" w:type="pct"/>
            <w:gridSpan w:val="2"/>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Precio promedio en enero 2017</w:t>
            </w:r>
          </w:p>
        </w:tc>
        <w:tc>
          <w:tcPr>
            <w:tcW w:w="857" w:type="pct"/>
            <w:gridSpan w:val="2"/>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63.940,81</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00"/>
        </w:trPr>
        <w:tc>
          <w:tcPr>
            <w:tcW w:w="1848" w:type="pct"/>
            <w:gridSpan w:val="2"/>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857" w:type="pct"/>
            <w:gridSpan w:val="2"/>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00"/>
        </w:trPr>
        <w:tc>
          <w:tcPr>
            <w:tcW w:w="1848" w:type="pct"/>
            <w:gridSpan w:val="2"/>
            <w:tcBorders>
              <w:top w:val="nil"/>
              <w:left w:val="single" w:sz="8" w:space="0" w:color="auto"/>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AUMENTO</w:t>
            </w:r>
          </w:p>
        </w:tc>
        <w:tc>
          <w:tcPr>
            <w:tcW w:w="857" w:type="pct"/>
            <w:gridSpan w:val="2"/>
            <w:tcBorders>
              <w:top w:val="nil"/>
              <w:left w:val="nil"/>
              <w:bottom w:val="nil"/>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ABSOLUTO</w:t>
            </w:r>
          </w:p>
        </w:tc>
        <w:tc>
          <w:tcPr>
            <w:tcW w:w="62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xml:space="preserve">3.626,14 </w:t>
            </w:r>
          </w:p>
        </w:tc>
        <w:tc>
          <w:tcPr>
            <w:tcW w:w="434" w:type="pct"/>
            <w:tcBorders>
              <w:top w:val="nil"/>
              <w:left w:val="nil"/>
              <w:bottom w:val="nil"/>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nil"/>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r w:rsidR="007458D8" w:rsidRPr="007458D8" w:rsidTr="007458D8">
        <w:trPr>
          <w:trHeight w:val="315"/>
        </w:trPr>
        <w:tc>
          <w:tcPr>
            <w:tcW w:w="1848" w:type="pct"/>
            <w:gridSpan w:val="2"/>
            <w:tcBorders>
              <w:top w:val="nil"/>
              <w:left w:val="single" w:sz="8" w:space="0" w:color="auto"/>
              <w:bottom w:val="single" w:sz="8"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857" w:type="pct"/>
            <w:gridSpan w:val="2"/>
            <w:tcBorders>
              <w:top w:val="nil"/>
              <w:left w:val="nil"/>
              <w:bottom w:val="single" w:sz="8" w:space="0" w:color="auto"/>
              <w:right w:val="nil"/>
            </w:tcBorders>
            <w:shd w:val="clear" w:color="000000" w:fill="FFFFFF"/>
            <w:noWrap/>
            <w:vAlign w:val="bottom"/>
            <w:hideMark/>
          </w:tcPr>
          <w:p w:rsidR="007458D8" w:rsidRPr="007458D8" w:rsidRDefault="007458D8" w:rsidP="007458D8">
            <w:pPr>
              <w:rPr>
                <w:rFonts w:ascii="Arial" w:hAnsi="Arial" w:cs="Arial"/>
                <w:color w:val="000000"/>
                <w:sz w:val="20"/>
                <w:szCs w:val="20"/>
                <w:lang w:val="es-CR" w:eastAsia="es-CR"/>
              </w:rPr>
            </w:pPr>
            <w:r w:rsidRPr="007458D8">
              <w:rPr>
                <w:rFonts w:ascii="Arial" w:hAnsi="Arial" w:cs="Arial"/>
                <w:color w:val="000000"/>
                <w:sz w:val="20"/>
                <w:szCs w:val="20"/>
                <w:lang w:val="es-CR" w:eastAsia="es-CR"/>
              </w:rPr>
              <w:t>PORCENTUAL</w:t>
            </w:r>
          </w:p>
        </w:tc>
        <w:tc>
          <w:tcPr>
            <w:tcW w:w="624" w:type="pct"/>
            <w:tcBorders>
              <w:top w:val="nil"/>
              <w:left w:val="nil"/>
              <w:bottom w:val="single" w:sz="8"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586" w:type="pct"/>
            <w:tcBorders>
              <w:top w:val="nil"/>
              <w:left w:val="nil"/>
              <w:bottom w:val="single" w:sz="8"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5,67%</w:t>
            </w:r>
          </w:p>
        </w:tc>
        <w:tc>
          <w:tcPr>
            <w:tcW w:w="434" w:type="pct"/>
            <w:tcBorders>
              <w:top w:val="nil"/>
              <w:left w:val="nil"/>
              <w:bottom w:val="single" w:sz="8" w:space="0" w:color="auto"/>
              <w:right w:val="nil"/>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c>
          <w:tcPr>
            <w:tcW w:w="651" w:type="pct"/>
            <w:gridSpan w:val="2"/>
            <w:tcBorders>
              <w:top w:val="nil"/>
              <w:left w:val="nil"/>
              <w:bottom w:val="single" w:sz="8" w:space="0" w:color="auto"/>
              <w:right w:val="single" w:sz="8" w:space="0" w:color="auto"/>
            </w:tcBorders>
            <w:shd w:val="clear" w:color="000000" w:fill="FFFFFF"/>
            <w:noWrap/>
            <w:vAlign w:val="bottom"/>
            <w:hideMark/>
          </w:tcPr>
          <w:p w:rsidR="007458D8" w:rsidRPr="007458D8" w:rsidRDefault="007458D8" w:rsidP="007458D8">
            <w:pPr>
              <w:jc w:val="center"/>
              <w:rPr>
                <w:rFonts w:ascii="Arial" w:hAnsi="Arial" w:cs="Arial"/>
                <w:color w:val="000000"/>
                <w:sz w:val="20"/>
                <w:szCs w:val="20"/>
                <w:lang w:val="es-CR" w:eastAsia="es-CR"/>
              </w:rPr>
            </w:pPr>
            <w:r w:rsidRPr="007458D8">
              <w:rPr>
                <w:rFonts w:ascii="Arial" w:hAnsi="Arial" w:cs="Arial"/>
                <w:color w:val="000000"/>
                <w:sz w:val="20"/>
                <w:szCs w:val="20"/>
                <w:lang w:val="es-CR" w:eastAsia="es-CR"/>
              </w:rPr>
              <w:t> </w:t>
            </w:r>
          </w:p>
        </w:tc>
      </w:tr>
    </w:tbl>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p>
    <w:p w:rsidR="007458D8" w:rsidRPr="007458D8" w:rsidRDefault="007458D8" w:rsidP="007458D8">
      <w:pPr>
        <w:spacing w:line="276" w:lineRule="auto"/>
        <w:jc w:val="both"/>
        <w:rPr>
          <w:rFonts w:ascii="Arial" w:hAnsi="Arial" w:cs="Arial"/>
          <w:lang w:val="es-CR"/>
        </w:rPr>
      </w:pPr>
      <w:r w:rsidRPr="007458D8">
        <w:rPr>
          <w:rFonts w:ascii="Arial" w:hAnsi="Arial" w:cs="Arial"/>
          <w:lang w:val="es-CR"/>
        </w:rPr>
        <w:t>Luego de estimar los diferentes costos de producción y la proporcionalidad de los equipos y paquete tecnológico, se determinó un precio final de $116,46 por tonelada de fruta de palma aceitera.</w:t>
      </w:r>
    </w:p>
    <w:p w:rsidR="00ED5721" w:rsidRDefault="00ED5721" w:rsidP="00EC270B">
      <w:pPr>
        <w:rPr>
          <w:rFonts w:cs="Arial"/>
          <w:lang w:val="es-CR"/>
        </w:rPr>
      </w:pPr>
    </w:p>
    <w:p w:rsidR="005D2067" w:rsidRPr="0039462B" w:rsidRDefault="005D2067" w:rsidP="00EC270B">
      <w:pPr>
        <w:rPr>
          <w:rFonts w:ascii="Arial" w:hAnsi="Arial" w:cs="Arial"/>
          <w:lang w:val="es-CR"/>
        </w:rPr>
      </w:pPr>
    </w:p>
    <w:p w:rsidR="005D2067" w:rsidRPr="0088405B" w:rsidRDefault="00002A0D" w:rsidP="0043370A">
      <w:pPr>
        <w:pStyle w:val="Ttulo1"/>
        <w:jc w:val="both"/>
      </w:pPr>
      <w:bookmarkStart w:id="138" w:name="_Toc35865829"/>
      <w:bookmarkStart w:id="139" w:name="_Toc63666230"/>
      <w:r w:rsidRPr="0088405B">
        <w:t>Costo de industrialización del aceite cr</w:t>
      </w:r>
      <w:r w:rsidR="00492688" w:rsidRPr="0088405B">
        <w:t>udo de p</w:t>
      </w:r>
      <w:r w:rsidRPr="0088405B">
        <w:t xml:space="preserve">alma por </w:t>
      </w:r>
      <w:r w:rsidR="009F0389" w:rsidRPr="0088405B">
        <w:t>tonelada métrica</w:t>
      </w:r>
      <w:bookmarkEnd w:id="138"/>
      <w:bookmarkEnd w:id="139"/>
    </w:p>
    <w:p w:rsidR="00492688" w:rsidRDefault="00492688" w:rsidP="00492688">
      <w:pPr>
        <w:rPr>
          <w:lang w:val="es-CR"/>
        </w:rPr>
      </w:pPr>
    </w:p>
    <w:p w:rsidR="00E11750" w:rsidRDefault="00E11750" w:rsidP="00492688">
      <w:pPr>
        <w:spacing w:line="276" w:lineRule="auto"/>
        <w:jc w:val="both"/>
        <w:rPr>
          <w:rFonts w:ascii="Arial" w:hAnsi="Arial" w:cs="Arial"/>
          <w:lang w:val="es-CR"/>
        </w:rPr>
      </w:pPr>
      <w:r>
        <w:rPr>
          <w:rFonts w:ascii="Arial" w:hAnsi="Arial" w:cs="Arial"/>
          <w:lang w:val="es-CR"/>
        </w:rPr>
        <w:t>La industria es u</w:t>
      </w:r>
      <w:r w:rsidR="00492688">
        <w:rPr>
          <w:rFonts w:ascii="Arial" w:hAnsi="Arial" w:cs="Arial"/>
          <w:lang w:val="es-CR"/>
        </w:rPr>
        <w:t>n actor importante de co</w:t>
      </w:r>
      <w:r>
        <w:rPr>
          <w:rFonts w:ascii="Arial" w:hAnsi="Arial" w:cs="Arial"/>
          <w:lang w:val="es-CR"/>
        </w:rPr>
        <w:t>ntemplar dentro de este análisis. En</w:t>
      </w:r>
      <w:r w:rsidR="00B624E9">
        <w:rPr>
          <w:rFonts w:ascii="Arial" w:hAnsi="Arial" w:cs="Arial"/>
          <w:lang w:val="es-CR"/>
        </w:rPr>
        <w:t xml:space="preserve"> este mercado operan dos industrias y en</w:t>
      </w:r>
      <w:r>
        <w:rPr>
          <w:rFonts w:ascii="Arial" w:hAnsi="Arial" w:cs="Arial"/>
          <w:lang w:val="es-CR"/>
        </w:rPr>
        <w:t xml:space="preserve"> este caso</w:t>
      </w:r>
      <w:r w:rsidR="00B624E9">
        <w:rPr>
          <w:rFonts w:ascii="Arial" w:hAnsi="Arial" w:cs="Arial"/>
          <w:lang w:val="es-CR"/>
        </w:rPr>
        <w:t xml:space="preserve"> ambas, </w:t>
      </w:r>
      <w:r>
        <w:rPr>
          <w:rFonts w:ascii="Arial" w:hAnsi="Arial" w:cs="Arial"/>
          <w:lang w:val="es-CR"/>
        </w:rPr>
        <w:t>Palma Tica S.A y Coopeagropal R.L evidencia</w:t>
      </w:r>
      <w:r w:rsidR="00B60985">
        <w:rPr>
          <w:rFonts w:ascii="Arial" w:hAnsi="Arial" w:cs="Arial"/>
          <w:lang w:val="es-CR"/>
        </w:rPr>
        <w:t>ron</w:t>
      </w:r>
      <w:r>
        <w:rPr>
          <w:rFonts w:ascii="Arial" w:hAnsi="Arial" w:cs="Arial"/>
          <w:lang w:val="es-CR"/>
        </w:rPr>
        <w:t xml:space="preserve"> </w:t>
      </w:r>
      <w:r w:rsidR="00B60985">
        <w:rPr>
          <w:rFonts w:ascii="Arial" w:hAnsi="Arial" w:cs="Arial"/>
          <w:lang w:val="es-CR"/>
        </w:rPr>
        <w:t xml:space="preserve">la importancia de contemplar </w:t>
      </w:r>
      <w:r>
        <w:rPr>
          <w:rFonts w:ascii="Arial" w:hAnsi="Arial" w:cs="Arial"/>
          <w:lang w:val="es-CR"/>
        </w:rPr>
        <w:t xml:space="preserve">el costo del proceso de industrialización del aceite </w:t>
      </w:r>
      <w:r w:rsidR="00B60985">
        <w:rPr>
          <w:rFonts w:ascii="Arial" w:hAnsi="Arial" w:cs="Arial"/>
          <w:lang w:val="es-CR"/>
        </w:rPr>
        <w:t>crudo</w:t>
      </w:r>
      <w:r>
        <w:rPr>
          <w:rFonts w:ascii="Arial" w:hAnsi="Arial" w:cs="Arial"/>
          <w:lang w:val="es-CR"/>
        </w:rPr>
        <w:t xml:space="preserve"> de palma por tonelada métrica de aceite.</w:t>
      </w:r>
      <w:r w:rsidR="00246F47">
        <w:rPr>
          <w:rFonts w:ascii="Arial" w:hAnsi="Arial" w:cs="Arial"/>
          <w:lang w:val="es-CR"/>
        </w:rPr>
        <w:t xml:space="preserve"> Ambas lo hicieron mediante un criterio en conjunto.</w:t>
      </w:r>
    </w:p>
    <w:p w:rsidR="00E11750" w:rsidRPr="00E11750" w:rsidRDefault="00E11750" w:rsidP="00E11750">
      <w:pPr>
        <w:rPr>
          <w:lang w:val="es-CR"/>
        </w:rPr>
      </w:pPr>
    </w:p>
    <w:p w:rsidR="0039462B" w:rsidRPr="00E11750" w:rsidRDefault="00246F47" w:rsidP="0039462B">
      <w:pPr>
        <w:spacing w:line="276" w:lineRule="auto"/>
        <w:jc w:val="both"/>
        <w:rPr>
          <w:rFonts w:ascii="Arial" w:hAnsi="Arial" w:cs="Arial"/>
          <w:lang w:val="es-CR"/>
        </w:rPr>
      </w:pPr>
      <w:r>
        <w:rPr>
          <w:rFonts w:ascii="Arial" w:hAnsi="Arial" w:cs="Arial"/>
          <w:lang w:val="es-CR"/>
        </w:rPr>
        <w:lastRenderedPageBreak/>
        <w:t>Las industrias</w:t>
      </w:r>
      <w:r w:rsidR="00E11750" w:rsidRPr="00E11750">
        <w:rPr>
          <w:rFonts w:ascii="Arial" w:hAnsi="Arial" w:cs="Arial"/>
          <w:lang w:val="es-CR"/>
        </w:rPr>
        <w:t xml:space="preserve"> </w:t>
      </w:r>
      <w:r w:rsidR="0039462B" w:rsidRPr="00E11750">
        <w:rPr>
          <w:rFonts w:ascii="Arial" w:hAnsi="Arial" w:cs="Arial"/>
          <w:lang w:val="es-CR"/>
        </w:rPr>
        <w:t>coloca</w:t>
      </w:r>
      <w:r>
        <w:rPr>
          <w:rFonts w:ascii="Arial" w:hAnsi="Arial" w:cs="Arial"/>
          <w:lang w:val="es-CR"/>
        </w:rPr>
        <w:t>n</w:t>
      </w:r>
      <w:r w:rsidR="0039462B" w:rsidRPr="00E11750">
        <w:rPr>
          <w:rFonts w:ascii="Arial" w:hAnsi="Arial" w:cs="Arial"/>
          <w:lang w:val="es-CR"/>
        </w:rPr>
        <w:t xml:space="preserve"> el aceite del crudo de palma a sus clientes en condiciones de costo y flete al puerto más cercano del comprador. Esta situación obliga </w:t>
      </w:r>
      <w:r w:rsidR="00FD39E5">
        <w:rPr>
          <w:rFonts w:ascii="Arial" w:hAnsi="Arial" w:cs="Arial"/>
          <w:lang w:val="es-CR"/>
        </w:rPr>
        <w:t>a la</w:t>
      </w:r>
      <w:r w:rsidR="007574AE">
        <w:rPr>
          <w:rFonts w:ascii="Arial" w:hAnsi="Arial" w:cs="Arial"/>
          <w:lang w:val="es-CR"/>
        </w:rPr>
        <w:t xml:space="preserve"> industria </w:t>
      </w:r>
      <w:r w:rsidR="0039462B" w:rsidRPr="00E11750">
        <w:rPr>
          <w:rFonts w:ascii="Arial" w:hAnsi="Arial" w:cs="Arial"/>
          <w:lang w:val="es-CR"/>
        </w:rPr>
        <w:t>a cubrir los fletes internos al puerto de embarque, almacenamiento y carga en el puerto más el flete marítimo</w:t>
      </w:r>
      <w:r w:rsidR="00A83BAA" w:rsidRPr="00E11750">
        <w:rPr>
          <w:rFonts w:ascii="Arial" w:hAnsi="Arial" w:cs="Arial"/>
          <w:lang w:val="es-CR"/>
        </w:rPr>
        <w:t xml:space="preserve">, </w:t>
      </w:r>
      <w:r w:rsidR="0039462B" w:rsidRPr="00E11750">
        <w:rPr>
          <w:rFonts w:ascii="Arial" w:hAnsi="Arial" w:cs="Arial"/>
          <w:lang w:val="es-CR"/>
        </w:rPr>
        <w:t>en el caso de Costa Rica es México</w:t>
      </w:r>
      <w:r w:rsidR="008B67B3" w:rsidRPr="00E11750">
        <w:rPr>
          <w:rFonts w:ascii="Arial" w:hAnsi="Arial" w:cs="Arial"/>
          <w:lang w:val="es-CR"/>
        </w:rPr>
        <w:t xml:space="preserve"> el principal comprador</w:t>
      </w:r>
      <w:r w:rsidR="0039462B" w:rsidRPr="00E11750">
        <w:rPr>
          <w:rFonts w:ascii="Arial" w:hAnsi="Arial" w:cs="Arial"/>
          <w:lang w:val="es-CR"/>
        </w:rPr>
        <w:t>. Adicional a esto hay un porcentaje alto de la fruta q</w:t>
      </w:r>
      <w:r w:rsidR="002F74F1" w:rsidRPr="00E11750">
        <w:rPr>
          <w:rFonts w:ascii="Arial" w:hAnsi="Arial" w:cs="Arial"/>
          <w:lang w:val="es-CR"/>
        </w:rPr>
        <w:t xml:space="preserve">ue se compra en recibidores y esto implica que se deba </w:t>
      </w:r>
      <w:r w:rsidR="0039462B" w:rsidRPr="00E11750">
        <w:rPr>
          <w:rFonts w:ascii="Arial" w:hAnsi="Arial" w:cs="Arial"/>
          <w:lang w:val="es-CR"/>
        </w:rPr>
        <w:t>incurrir en los costos del manejo del recibidor y del transporte de la fruta a la planta por parte de</w:t>
      </w:r>
      <w:r w:rsidR="007574AE">
        <w:rPr>
          <w:rFonts w:ascii="Arial" w:hAnsi="Arial" w:cs="Arial"/>
          <w:lang w:val="es-CR"/>
        </w:rPr>
        <w:t xml:space="preserve"> </w:t>
      </w:r>
      <w:r>
        <w:rPr>
          <w:rFonts w:ascii="Arial" w:hAnsi="Arial" w:cs="Arial"/>
          <w:lang w:val="es-CR"/>
        </w:rPr>
        <w:t>ambas industrias.</w:t>
      </w:r>
    </w:p>
    <w:p w:rsidR="002F74F1" w:rsidRDefault="002F74F1" w:rsidP="0039462B">
      <w:pPr>
        <w:spacing w:line="276" w:lineRule="auto"/>
        <w:jc w:val="both"/>
        <w:rPr>
          <w:rFonts w:ascii="Arial" w:hAnsi="Arial" w:cs="Arial"/>
          <w:color w:val="FF0000"/>
          <w:lang w:val="es-CR"/>
        </w:rPr>
      </w:pPr>
    </w:p>
    <w:p w:rsidR="00322A6F" w:rsidRDefault="00322A6F" w:rsidP="0039462B">
      <w:pPr>
        <w:spacing w:line="276" w:lineRule="auto"/>
        <w:jc w:val="both"/>
        <w:rPr>
          <w:rFonts w:ascii="Arial" w:hAnsi="Arial" w:cs="Arial"/>
          <w:lang w:val="es-CR"/>
        </w:rPr>
      </w:pPr>
      <w:r>
        <w:rPr>
          <w:rFonts w:ascii="Arial" w:hAnsi="Arial" w:cs="Arial"/>
          <w:lang w:val="es-CR"/>
        </w:rPr>
        <w:t xml:space="preserve">Los datos de la industria son sensibles, sin </w:t>
      </w:r>
      <w:r w:rsidR="00B624E9">
        <w:rPr>
          <w:rFonts w:ascii="Arial" w:hAnsi="Arial" w:cs="Arial"/>
          <w:lang w:val="es-CR"/>
        </w:rPr>
        <w:t>embargo,</w:t>
      </w:r>
      <w:r>
        <w:rPr>
          <w:rFonts w:ascii="Arial" w:hAnsi="Arial" w:cs="Arial"/>
          <w:lang w:val="es-CR"/>
        </w:rPr>
        <w:t xml:space="preserve"> es información necesaria</w:t>
      </w:r>
      <w:r w:rsidR="00AA02AF">
        <w:rPr>
          <w:rFonts w:ascii="Arial" w:hAnsi="Arial" w:cs="Arial"/>
          <w:lang w:val="es-CR"/>
        </w:rPr>
        <w:t xml:space="preserve"> para el análisis,</w:t>
      </w:r>
      <w:r>
        <w:rPr>
          <w:rFonts w:ascii="Arial" w:hAnsi="Arial" w:cs="Arial"/>
          <w:lang w:val="es-CR"/>
        </w:rPr>
        <w:t xml:space="preserve"> por ello ambas industrias estuvieron de acuerdo en presentar de forma confidencial datos para efectos de este apartado</w:t>
      </w:r>
      <w:r w:rsidR="00AA02AF">
        <w:rPr>
          <w:rFonts w:ascii="Arial" w:hAnsi="Arial" w:cs="Arial"/>
          <w:lang w:val="es-CR"/>
        </w:rPr>
        <w:t xml:space="preserve">, de manera </w:t>
      </w:r>
      <w:r w:rsidR="0043370A">
        <w:rPr>
          <w:rFonts w:ascii="Arial" w:hAnsi="Arial" w:cs="Arial"/>
          <w:lang w:val="es-CR"/>
        </w:rPr>
        <w:t>que indicaremos</w:t>
      </w:r>
      <w:r>
        <w:rPr>
          <w:rFonts w:ascii="Arial" w:hAnsi="Arial" w:cs="Arial"/>
          <w:lang w:val="es-CR"/>
        </w:rPr>
        <w:t xml:space="preserve"> información sin nombre de la industria</w:t>
      </w:r>
      <w:r w:rsidR="003D3929">
        <w:rPr>
          <w:rFonts w:ascii="Arial" w:hAnsi="Arial" w:cs="Arial"/>
          <w:lang w:val="es-CR"/>
        </w:rPr>
        <w:t>.</w:t>
      </w:r>
      <w:r>
        <w:rPr>
          <w:rFonts w:ascii="Arial" w:hAnsi="Arial" w:cs="Arial"/>
          <w:lang w:val="es-CR"/>
        </w:rPr>
        <w:t xml:space="preserve"> </w:t>
      </w:r>
    </w:p>
    <w:p w:rsidR="00322A6F" w:rsidRDefault="00322A6F" w:rsidP="0039462B">
      <w:pPr>
        <w:spacing w:line="276" w:lineRule="auto"/>
        <w:jc w:val="both"/>
        <w:rPr>
          <w:rFonts w:ascii="Arial" w:hAnsi="Arial" w:cs="Arial"/>
          <w:lang w:val="es-CR"/>
        </w:rPr>
      </w:pPr>
    </w:p>
    <w:p w:rsidR="00FA1723" w:rsidRPr="007574AE" w:rsidRDefault="00E11750" w:rsidP="0039462B">
      <w:pPr>
        <w:spacing w:line="276" w:lineRule="auto"/>
        <w:jc w:val="both"/>
        <w:rPr>
          <w:rFonts w:ascii="Arial" w:hAnsi="Arial" w:cs="Arial"/>
          <w:lang w:val="es-CR"/>
        </w:rPr>
      </w:pPr>
      <w:r w:rsidRPr="00E11750">
        <w:rPr>
          <w:rFonts w:ascii="Arial" w:hAnsi="Arial" w:cs="Arial"/>
          <w:lang w:val="es-CR"/>
        </w:rPr>
        <w:t>Para e</w:t>
      </w:r>
      <w:r w:rsidR="007574AE">
        <w:rPr>
          <w:rFonts w:ascii="Arial" w:hAnsi="Arial" w:cs="Arial"/>
          <w:lang w:val="es-CR"/>
        </w:rPr>
        <w:t>l</w:t>
      </w:r>
      <w:r w:rsidRPr="00E11750">
        <w:rPr>
          <w:rFonts w:ascii="Arial" w:hAnsi="Arial" w:cs="Arial"/>
          <w:lang w:val="es-CR"/>
        </w:rPr>
        <w:t xml:space="preserve"> año</w:t>
      </w:r>
      <w:r w:rsidR="007574AE">
        <w:rPr>
          <w:rFonts w:ascii="Arial" w:hAnsi="Arial" w:cs="Arial"/>
          <w:lang w:val="es-CR"/>
        </w:rPr>
        <w:t xml:space="preserve"> 2019</w:t>
      </w:r>
      <w:r w:rsidRPr="00E11750">
        <w:rPr>
          <w:rFonts w:ascii="Arial" w:hAnsi="Arial" w:cs="Arial"/>
          <w:lang w:val="es-CR"/>
        </w:rPr>
        <w:t xml:space="preserve"> </w:t>
      </w:r>
      <w:r w:rsidR="00322A6F">
        <w:rPr>
          <w:rFonts w:ascii="Arial" w:hAnsi="Arial" w:cs="Arial"/>
          <w:lang w:val="es-CR"/>
        </w:rPr>
        <w:t>una industria</w:t>
      </w:r>
      <w:r w:rsidRPr="00E11750">
        <w:rPr>
          <w:rFonts w:ascii="Arial" w:hAnsi="Arial" w:cs="Arial"/>
          <w:lang w:val="es-CR"/>
        </w:rPr>
        <w:t xml:space="preserve"> </w:t>
      </w:r>
      <w:r w:rsidR="001A54E4" w:rsidRPr="00E11750">
        <w:rPr>
          <w:rFonts w:ascii="Arial" w:hAnsi="Arial" w:cs="Arial"/>
          <w:lang w:val="es-CR"/>
        </w:rPr>
        <w:t xml:space="preserve">obtuvo un total de fruta procesada de 954.716 TM y una extracción de 21.69% de aceite crudo de palma. El </w:t>
      </w:r>
      <w:r w:rsidR="002F74F1" w:rsidRPr="00E11750">
        <w:rPr>
          <w:rFonts w:ascii="Arial" w:hAnsi="Arial" w:cs="Arial"/>
          <w:lang w:val="es-CR"/>
        </w:rPr>
        <w:t>costo total de extracción</w:t>
      </w:r>
      <w:r w:rsidR="00773D1F">
        <w:rPr>
          <w:rFonts w:ascii="Arial" w:hAnsi="Arial" w:cs="Arial"/>
          <w:lang w:val="es-CR"/>
        </w:rPr>
        <w:t xml:space="preserve"> y administración</w:t>
      </w:r>
      <w:r w:rsidR="002F74F1" w:rsidRPr="00E11750">
        <w:rPr>
          <w:rFonts w:ascii="Arial" w:hAnsi="Arial" w:cs="Arial"/>
          <w:lang w:val="es-CR"/>
        </w:rPr>
        <w:t xml:space="preserve"> ($/TM aceite) </w:t>
      </w:r>
      <w:r w:rsidR="001A54E4" w:rsidRPr="00E11750">
        <w:rPr>
          <w:rFonts w:ascii="Arial" w:hAnsi="Arial" w:cs="Arial"/>
          <w:lang w:val="es-CR"/>
        </w:rPr>
        <w:t>fue</w:t>
      </w:r>
      <w:r w:rsidR="00773D1F">
        <w:rPr>
          <w:rFonts w:ascii="Arial" w:hAnsi="Arial" w:cs="Arial"/>
          <w:lang w:val="es-CR"/>
        </w:rPr>
        <w:t xml:space="preserve"> de $91,00</w:t>
      </w:r>
      <w:r w:rsidR="00123A3A">
        <w:rPr>
          <w:rFonts w:ascii="Arial" w:hAnsi="Arial" w:cs="Arial"/>
          <w:lang w:val="es-CR"/>
        </w:rPr>
        <w:t xml:space="preserve">. </w:t>
      </w:r>
      <w:r w:rsidR="00B624E9" w:rsidRPr="007574AE">
        <w:rPr>
          <w:rFonts w:ascii="Arial" w:hAnsi="Arial" w:cs="Arial"/>
          <w:lang w:val="es-CR"/>
        </w:rPr>
        <w:t>Finalmente,</w:t>
      </w:r>
      <w:r w:rsidR="00FA1723" w:rsidRPr="007574AE">
        <w:rPr>
          <w:rFonts w:ascii="Arial" w:hAnsi="Arial" w:cs="Arial"/>
          <w:lang w:val="es-CR"/>
        </w:rPr>
        <w:t xml:space="preserve"> el costo total puesto en México </w:t>
      </w:r>
      <w:r w:rsidR="001A54E4" w:rsidRPr="007574AE">
        <w:rPr>
          <w:rFonts w:ascii="Arial" w:hAnsi="Arial" w:cs="Arial"/>
          <w:lang w:val="es-CR"/>
        </w:rPr>
        <w:t>fue</w:t>
      </w:r>
      <w:r w:rsidR="00123A3A">
        <w:rPr>
          <w:rFonts w:ascii="Arial" w:hAnsi="Arial" w:cs="Arial"/>
          <w:lang w:val="es-CR"/>
        </w:rPr>
        <w:t xml:space="preserve"> de $193,00</w:t>
      </w:r>
      <w:r w:rsidR="00CD6017" w:rsidRPr="007574AE">
        <w:rPr>
          <w:rFonts w:ascii="Arial" w:hAnsi="Arial" w:cs="Arial"/>
          <w:lang w:val="es-CR"/>
        </w:rPr>
        <w:t>.</w:t>
      </w:r>
      <w:r w:rsidR="001A54E4" w:rsidRPr="007574AE">
        <w:rPr>
          <w:rFonts w:ascii="Arial" w:hAnsi="Arial" w:cs="Arial"/>
          <w:lang w:val="es-CR"/>
        </w:rPr>
        <w:t xml:space="preserve"> </w:t>
      </w:r>
    </w:p>
    <w:p w:rsidR="000061AA" w:rsidRDefault="000061AA" w:rsidP="0039462B">
      <w:pPr>
        <w:spacing w:line="276" w:lineRule="auto"/>
        <w:jc w:val="both"/>
        <w:rPr>
          <w:rFonts w:ascii="Arial" w:hAnsi="Arial" w:cs="Arial"/>
          <w:color w:val="FF0000"/>
          <w:lang w:val="es-CR"/>
        </w:rPr>
      </w:pPr>
    </w:p>
    <w:p w:rsidR="007D2407" w:rsidRDefault="003C5900" w:rsidP="003C5900">
      <w:pPr>
        <w:spacing w:line="276" w:lineRule="auto"/>
        <w:jc w:val="center"/>
        <w:rPr>
          <w:rFonts w:ascii="Arial" w:eastAsia="Calibri" w:hAnsi="Arial" w:cs="Arial"/>
          <w:bCs/>
          <w:lang w:val="es-CR" w:eastAsia="en-US"/>
        </w:rPr>
      </w:pPr>
      <w:bookmarkStart w:id="140" w:name="_Toc63666245"/>
      <w:r w:rsidRPr="007458D8">
        <w:rPr>
          <w:rFonts w:ascii="Arial" w:eastAsia="Calibri" w:hAnsi="Arial" w:cs="Arial"/>
          <w:bCs/>
          <w:lang w:val="es-CR" w:eastAsia="en-US"/>
        </w:rPr>
        <w:t xml:space="preserve">Cuadro </w:t>
      </w:r>
      <w:r w:rsidRPr="007458D8">
        <w:rPr>
          <w:rFonts w:ascii="Arial" w:eastAsia="Calibri" w:hAnsi="Arial" w:cs="Arial"/>
          <w:bCs/>
          <w:lang w:val="es-CR" w:eastAsia="en-US"/>
        </w:rPr>
        <w:fldChar w:fldCharType="begin"/>
      </w:r>
      <w:r w:rsidRPr="007458D8">
        <w:rPr>
          <w:rFonts w:ascii="Arial" w:eastAsia="Calibri" w:hAnsi="Arial" w:cs="Arial"/>
          <w:bCs/>
          <w:lang w:val="es-CR" w:eastAsia="en-US"/>
        </w:rPr>
        <w:instrText xml:space="preserve"> SEQ Cuadro \* ARABIC </w:instrText>
      </w:r>
      <w:r w:rsidRPr="007458D8">
        <w:rPr>
          <w:rFonts w:ascii="Arial" w:eastAsia="Calibri" w:hAnsi="Arial" w:cs="Arial"/>
          <w:bCs/>
          <w:lang w:val="es-CR" w:eastAsia="en-US"/>
        </w:rPr>
        <w:fldChar w:fldCharType="separate"/>
      </w:r>
      <w:r w:rsidR="00255753">
        <w:rPr>
          <w:rFonts w:ascii="Arial" w:eastAsia="Calibri" w:hAnsi="Arial" w:cs="Arial"/>
          <w:bCs/>
          <w:noProof/>
          <w:lang w:val="es-CR" w:eastAsia="en-US"/>
        </w:rPr>
        <w:t>12</w:t>
      </w:r>
      <w:r w:rsidRPr="007458D8">
        <w:rPr>
          <w:rFonts w:ascii="Arial" w:eastAsia="Calibri" w:hAnsi="Arial" w:cs="Arial"/>
          <w:bCs/>
          <w:lang w:val="es-CR" w:eastAsia="en-US"/>
        </w:rPr>
        <w:fldChar w:fldCharType="end"/>
      </w:r>
      <w:r w:rsidRPr="007458D8">
        <w:rPr>
          <w:rFonts w:ascii="Arial" w:eastAsia="Calibri" w:hAnsi="Arial" w:cs="Arial"/>
          <w:bCs/>
          <w:lang w:val="es-CR" w:eastAsia="en-US"/>
        </w:rPr>
        <w:t xml:space="preserve">. </w:t>
      </w:r>
      <w:r w:rsidR="00773D1F">
        <w:rPr>
          <w:rFonts w:ascii="Arial" w:eastAsia="Calibri" w:hAnsi="Arial" w:cs="Arial"/>
          <w:bCs/>
          <w:lang w:val="es-CR" w:eastAsia="en-US"/>
        </w:rPr>
        <w:t>Costos no agrícolas de una planta extractora</w:t>
      </w:r>
      <w:r w:rsidR="000061AA" w:rsidRPr="008C4E0E">
        <w:rPr>
          <w:rFonts w:ascii="Arial" w:eastAsia="Calibri" w:hAnsi="Arial" w:cs="Arial"/>
          <w:bCs/>
          <w:lang w:val="es-CR" w:eastAsia="en-US"/>
        </w:rPr>
        <w:t>, en el año 2019</w:t>
      </w:r>
      <w:bookmarkEnd w:id="140"/>
    </w:p>
    <w:p w:rsidR="008C4E0E" w:rsidRPr="008C4E0E" w:rsidRDefault="008C4E0E" w:rsidP="008C4E0E">
      <w:pPr>
        <w:jc w:val="center"/>
        <w:rPr>
          <w:rFonts w:ascii="Arial" w:eastAsia="Calibri" w:hAnsi="Arial" w:cs="Arial"/>
          <w:bCs/>
          <w:lang w:val="es-C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6"/>
        <w:gridCol w:w="1288"/>
      </w:tblGrid>
      <w:tr w:rsidR="00481EF7" w:rsidRPr="007574AE" w:rsidTr="00123A3A">
        <w:trPr>
          <w:trHeight w:val="300"/>
          <w:jc w:val="center"/>
        </w:trPr>
        <w:tc>
          <w:tcPr>
            <w:tcW w:w="4242" w:type="pct"/>
            <w:shd w:val="clear" w:color="auto" w:fill="auto"/>
            <w:noWrap/>
            <w:vAlign w:val="bottom"/>
            <w:hideMark/>
          </w:tcPr>
          <w:p w:rsidR="002F74F1" w:rsidRPr="007574AE" w:rsidRDefault="002F74F1">
            <w:pPr>
              <w:rPr>
                <w:rFonts w:ascii="Arial" w:hAnsi="Arial" w:cs="Arial"/>
                <w:b/>
                <w:bCs/>
                <w:sz w:val="22"/>
                <w:szCs w:val="22"/>
              </w:rPr>
            </w:pPr>
            <w:r w:rsidRPr="007574AE">
              <w:rPr>
                <w:rFonts w:ascii="Arial" w:hAnsi="Arial" w:cs="Arial"/>
                <w:b/>
                <w:bCs/>
                <w:sz w:val="22"/>
                <w:szCs w:val="22"/>
              </w:rPr>
              <w:t>Gastos totales de extracción</w:t>
            </w:r>
            <w:r w:rsidR="00773D1F">
              <w:rPr>
                <w:rFonts w:ascii="Arial" w:hAnsi="Arial" w:cs="Arial"/>
                <w:b/>
                <w:bCs/>
                <w:sz w:val="22"/>
                <w:szCs w:val="22"/>
              </w:rPr>
              <w:t xml:space="preserve"> y administración</w:t>
            </w:r>
            <w:r w:rsidRPr="007574AE">
              <w:rPr>
                <w:rFonts w:ascii="Arial" w:hAnsi="Arial" w:cs="Arial"/>
                <w:b/>
                <w:bCs/>
                <w:sz w:val="22"/>
                <w:szCs w:val="22"/>
              </w:rPr>
              <w:t xml:space="preserve"> ($/TM aceite)</w:t>
            </w:r>
          </w:p>
        </w:tc>
        <w:tc>
          <w:tcPr>
            <w:tcW w:w="758" w:type="pct"/>
            <w:shd w:val="clear" w:color="auto" w:fill="auto"/>
            <w:noWrap/>
            <w:vAlign w:val="bottom"/>
            <w:hideMark/>
          </w:tcPr>
          <w:p w:rsidR="002F74F1" w:rsidRPr="007574AE" w:rsidRDefault="00773D1F">
            <w:pPr>
              <w:jc w:val="center"/>
              <w:rPr>
                <w:rFonts w:ascii="Arial" w:hAnsi="Arial" w:cs="Arial"/>
                <w:b/>
                <w:bCs/>
                <w:sz w:val="22"/>
                <w:szCs w:val="22"/>
              </w:rPr>
            </w:pPr>
            <w:r>
              <w:rPr>
                <w:rFonts w:ascii="Arial" w:hAnsi="Arial" w:cs="Arial"/>
                <w:b/>
                <w:bCs/>
                <w:sz w:val="22"/>
                <w:szCs w:val="22"/>
              </w:rPr>
              <w:t>91,00</w:t>
            </w:r>
          </w:p>
        </w:tc>
      </w:tr>
      <w:tr w:rsidR="00123A3A" w:rsidRPr="007574AE" w:rsidTr="00123A3A">
        <w:trPr>
          <w:trHeight w:val="285"/>
          <w:jc w:val="center"/>
        </w:trPr>
        <w:tc>
          <w:tcPr>
            <w:tcW w:w="4242" w:type="pct"/>
            <w:shd w:val="clear" w:color="auto" w:fill="auto"/>
            <w:vAlign w:val="bottom"/>
            <w:hideMark/>
          </w:tcPr>
          <w:p w:rsidR="00123A3A" w:rsidRPr="007574AE" w:rsidRDefault="00123A3A">
            <w:pPr>
              <w:rPr>
                <w:rFonts w:ascii="Arial" w:hAnsi="Arial" w:cs="Arial"/>
                <w:sz w:val="22"/>
                <w:szCs w:val="22"/>
              </w:rPr>
            </w:pPr>
            <w:r w:rsidRPr="007574AE">
              <w:rPr>
                <w:rFonts w:ascii="Arial" w:hAnsi="Arial" w:cs="Arial"/>
                <w:b/>
                <w:bCs/>
                <w:sz w:val="22"/>
                <w:szCs w:val="22"/>
              </w:rPr>
              <w:t xml:space="preserve">Total puesto en México </w:t>
            </w:r>
          </w:p>
        </w:tc>
        <w:tc>
          <w:tcPr>
            <w:tcW w:w="758" w:type="pct"/>
            <w:shd w:val="clear" w:color="auto" w:fill="auto"/>
            <w:noWrap/>
            <w:vAlign w:val="bottom"/>
            <w:hideMark/>
          </w:tcPr>
          <w:p w:rsidR="00123A3A" w:rsidRPr="007574AE" w:rsidRDefault="00123A3A">
            <w:pPr>
              <w:jc w:val="center"/>
              <w:rPr>
                <w:rFonts w:ascii="Arial" w:hAnsi="Arial" w:cs="Arial"/>
                <w:sz w:val="22"/>
                <w:szCs w:val="22"/>
              </w:rPr>
            </w:pPr>
            <w:r>
              <w:rPr>
                <w:rFonts w:ascii="Arial" w:hAnsi="Arial" w:cs="Arial"/>
                <w:b/>
                <w:bCs/>
                <w:sz w:val="22"/>
                <w:szCs w:val="22"/>
              </w:rPr>
              <w:t>193,00</w:t>
            </w:r>
          </w:p>
        </w:tc>
      </w:tr>
    </w:tbl>
    <w:p w:rsidR="0039462B" w:rsidRPr="007574AE" w:rsidRDefault="000061AA" w:rsidP="0039462B">
      <w:pPr>
        <w:spacing w:line="276" w:lineRule="auto"/>
        <w:jc w:val="both"/>
        <w:rPr>
          <w:rFonts w:ascii="Arial" w:hAnsi="Arial" w:cs="Arial"/>
          <w:sz w:val="20"/>
          <w:szCs w:val="20"/>
          <w:lang w:val="es-CR"/>
        </w:rPr>
      </w:pPr>
      <w:r w:rsidRPr="007574AE">
        <w:rPr>
          <w:rFonts w:ascii="Arial" w:hAnsi="Arial" w:cs="Arial"/>
          <w:sz w:val="20"/>
          <w:szCs w:val="20"/>
          <w:lang w:val="es-CR"/>
        </w:rPr>
        <w:t xml:space="preserve">Fuente: Datos brindados por </w:t>
      </w:r>
      <w:r w:rsidR="00773D1F">
        <w:rPr>
          <w:rFonts w:ascii="Arial" w:hAnsi="Arial" w:cs="Arial"/>
          <w:sz w:val="20"/>
          <w:szCs w:val="20"/>
          <w:lang w:val="es-CR"/>
        </w:rPr>
        <w:t>las industrias, 2020</w:t>
      </w:r>
    </w:p>
    <w:p w:rsidR="005D2067" w:rsidRDefault="005D2067" w:rsidP="00EC270B">
      <w:pPr>
        <w:rPr>
          <w:rFonts w:cs="Arial"/>
          <w:lang w:val="es-CR"/>
        </w:rPr>
      </w:pPr>
    </w:p>
    <w:p w:rsidR="007574AE" w:rsidRPr="007574AE" w:rsidRDefault="001A54E4" w:rsidP="00993EA7">
      <w:pPr>
        <w:spacing w:line="276" w:lineRule="auto"/>
        <w:jc w:val="both"/>
        <w:rPr>
          <w:rFonts w:ascii="Arial" w:hAnsi="Arial" w:cs="Arial"/>
        </w:rPr>
      </w:pPr>
      <w:r w:rsidRPr="007574AE">
        <w:rPr>
          <w:rFonts w:ascii="Arial" w:hAnsi="Arial" w:cs="Arial"/>
        </w:rPr>
        <w:t xml:space="preserve">Si </w:t>
      </w:r>
      <w:r w:rsidR="009F0389" w:rsidRPr="007574AE">
        <w:rPr>
          <w:rFonts w:ascii="Arial" w:hAnsi="Arial" w:cs="Arial"/>
        </w:rPr>
        <w:t>se asume</w:t>
      </w:r>
      <w:r w:rsidRPr="007574AE">
        <w:rPr>
          <w:rFonts w:ascii="Arial" w:hAnsi="Arial" w:cs="Arial"/>
        </w:rPr>
        <w:t xml:space="preserve"> un costo agrícola de $116,</w:t>
      </w:r>
      <w:r w:rsidR="00B624E9" w:rsidRPr="007574AE">
        <w:rPr>
          <w:rFonts w:ascii="Arial" w:hAnsi="Arial" w:cs="Arial"/>
        </w:rPr>
        <w:t>46 por</w:t>
      </w:r>
      <w:r w:rsidR="000D13CC" w:rsidRPr="007574AE">
        <w:rPr>
          <w:rFonts w:ascii="Arial" w:hAnsi="Arial" w:cs="Arial"/>
        </w:rPr>
        <w:t xml:space="preserve"> </w:t>
      </w:r>
      <w:r w:rsidR="00B624E9" w:rsidRPr="007574AE">
        <w:rPr>
          <w:rFonts w:ascii="Arial" w:hAnsi="Arial" w:cs="Arial"/>
        </w:rPr>
        <w:t>TM a</w:t>
      </w:r>
      <w:r w:rsidR="000D13CC" w:rsidRPr="007574AE">
        <w:rPr>
          <w:rFonts w:ascii="Arial" w:hAnsi="Arial" w:cs="Arial"/>
        </w:rPr>
        <w:t xml:space="preserve"> un 22% de extracción</w:t>
      </w:r>
      <w:r w:rsidR="00AA02AF">
        <w:rPr>
          <w:rFonts w:ascii="Arial" w:hAnsi="Arial" w:cs="Arial"/>
        </w:rPr>
        <w:t>,</w:t>
      </w:r>
      <w:r w:rsidR="000D13CC" w:rsidRPr="007574AE">
        <w:rPr>
          <w:rFonts w:ascii="Arial" w:hAnsi="Arial" w:cs="Arial"/>
        </w:rPr>
        <w:t xml:space="preserve"> esto genera un costo de $</w:t>
      </w:r>
      <w:r w:rsidR="00993EA7" w:rsidRPr="007574AE">
        <w:rPr>
          <w:rFonts w:ascii="Arial" w:hAnsi="Arial" w:cs="Arial"/>
        </w:rPr>
        <w:t>527,</w:t>
      </w:r>
      <w:r w:rsidR="000D13CC" w:rsidRPr="007574AE">
        <w:rPr>
          <w:rFonts w:ascii="Arial" w:hAnsi="Arial" w:cs="Arial"/>
        </w:rPr>
        <w:t>27</w:t>
      </w:r>
      <w:r w:rsidR="00AA02AF">
        <w:rPr>
          <w:rFonts w:ascii="Arial" w:hAnsi="Arial" w:cs="Arial"/>
        </w:rPr>
        <w:t>.  A</w:t>
      </w:r>
      <w:r w:rsidR="00993EA7" w:rsidRPr="007574AE">
        <w:rPr>
          <w:rFonts w:ascii="Arial" w:hAnsi="Arial" w:cs="Arial"/>
        </w:rPr>
        <w:t xml:space="preserve"> este monto </w:t>
      </w:r>
      <w:r w:rsidR="007574AE" w:rsidRPr="007574AE">
        <w:rPr>
          <w:rFonts w:ascii="Arial" w:hAnsi="Arial" w:cs="Arial"/>
        </w:rPr>
        <w:t xml:space="preserve">se debe </w:t>
      </w:r>
      <w:r w:rsidR="00B624E9" w:rsidRPr="007574AE">
        <w:rPr>
          <w:rFonts w:ascii="Arial" w:hAnsi="Arial" w:cs="Arial"/>
        </w:rPr>
        <w:t>sumar el</w:t>
      </w:r>
      <w:r w:rsidR="000D13CC" w:rsidRPr="007574AE">
        <w:rPr>
          <w:rFonts w:ascii="Arial" w:hAnsi="Arial" w:cs="Arial"/>
        </w:rPr>
        <w:t xml:space="preserve"> costo no agrícola</w:t>
      </w:r>
      <w:r w:rsidR="00993EA7" w:rsidRPr="007574AE">
        <w:rPr>
          <w:rFonts w:ascii="Arial" w:hAnsi="Arial" w:cs="Arial"/>
        </w:rPr>
        <w:t>.</w:t>
      </w:r>
      <w:r w:rsidR="000D13CC" w:rsidRPr="007574AE">
        <w:rPr>
          <w:rFonts w:ascii="Arial" w:hAnsi="Arial" w:cs="Arial"/>
        </w:rPr>
        <w:t xml:space="preserve"> </w:t>
      </w:r>
    </w:p>
    <w:p w:rsidR="00FD39E5" w:rsidRDefault="00993EA7" w:rsidP="00993EA7">
      <w:pPr>
        <w:spacing w:line="276" w:lineRule="auto"/>
        <w:jc w:val="both"/>
        <w:rPr>
          <w:rFonts w:ascii="Arial" w:hAnsi="Arial" w:cs="Arial"/>
        </w:rPr>
      </w:pPr>
      <w:r w:rsidRPr="00FD39E5">
        <w:rPr>
          <w:rFonts w:ascii="Arial" w:hAnsi="Arial" w:cs="Arial"/>
        </w:rPr>
        <w:t>En este caso</w:t>
      </w:r>
      <w:r w:rsidR="00AA02AF">
        <w:rPr>
          <w:rFonts w:ascii="Arial" w:hAnsi="Arial" w:cs="Arial"/>
        </w:rPr>
        <w:t>,</w:t>
      </w:r>
      <w:r w:rsidRPr="00FD39E5">
        <w:rPr>
          <w:rFonts w:ascii="Arial" w:hAnsi="Arial" w:cs="Arial"/>
        </w:rPr>
        <w:t xml:space="preserve"> </w:t>
      </w:r>
      <w:r w:rsidR="00123A3A">
        <w:rPr>
          <w:rFonts w:ascii="Arial" w:hAnsi="Arial" w:cs="Arial"/>
        </w:rPr>
        <w:t>partiendo de un</w:t>
      </w:r>
      <w:r w:rsidR="00AA02AF">
        <w:rPr>
          <w:rFonts w:ascii="Arial" w:hAnsi="Arial" w:cs="Arial"/>
        </w:rPr>
        <w:t xml:space="preserve"> no</w:t>
      </w:r>
      <w:r w:rsidR="00123A3A">
        <w:rPr>
          <w:rFonts w:ascii="Arial" w:hAnsi="Arial" w:cs="Arial"/>
        </w:rPr>
        <w:t xml:space="preserve"> costo agrícola de</w:t>
      </w:r>
      <w:r w:rsidR="00AA02AF">
        <w:rPr>
          <w:rFonts w:ascii="Arial" w:hAnsi="Arial" w:cs="Arial"/>
        </w:rPr>
        <w:t xml:space="preserve"> $193,00 por TM de aceite, l</w:t>
      </w:r>
      <w:r w:rsidRPr="00FD39E5">
        <w:rPr>
          <w:rFonts w:ascii="Arial" w:hAnsi="Arial" w:cs="Arial"/>
        </w:rPr>
        <w:t xml:space="preserve">a suma del costo agrícola más el costo no agrícola </w:t>
      </w:r>
      <w:r w:rsidR="00FD39E5" w:rsidRPr="00FD39E5">
        <w:rPr>
          <w:rFonts w:ascii="Arial" w:hAnsi="Arial" w:cs="Arial"/>
        </w:rPr>
        <w:t>genera un</w:t>
      </w:r>
      <w:r w:rsidRPr="00FD39E5">
        <w:rPr>
          <w:rFonts w:ascii="Arial" w:hAnsi="Arial" w:cs="Arial"/>
        </w:rPr>
        <w:t xml:space="preserve"> total de $720,27 por TM de aceite. </w:t>
      </w:r>
    </w:p>
    <w:p w:rsidR="00FD39E5" w:rsidRDefault="00FD39E5" w:rsidP="00FD39E5">
      <w:pPr>
        <w:pStyle w:val="Sinespaciado"/>
      </w:pPr>
    </w:p>
    <w:p w:rsidR="00993EA7" w:rsidRPr="00FD39E5" w:rsidRDefault="00993EA7" w:rsidP="00993EA7">
      <w:pPr>
        <w:spacing w:line="276" w:lineRule="auto"/>
        <w:jc w:val="both"/>
        <w:rPr>
          <w:rFonts w:ascii="Arial" w:hAnsi="Arial" w:cs="Arial"/>
        </w:rPr>
      </w:pPr>
      <w:r w:rsidRPr="00FD39E5">
        <w:rPr>
          <w:rFonts w:ascii="Arial" w:hAnsi="Arial" w:cs="Arial"/>
        </w:rPr>
        <w:t>Es importante considerar que el monto de $193,00 por tonelada de aceite</w:t>
      </w:r>
      <w:r w:rsidR="009F0389" w:rsidRPr="00FD39E5">
        <w:rPr>
          <w:rFonts w:ascii="Arial" w:hAnsi="Arial" w:cs="Arial"/>
        </w:rPr>
        <w:t xml:space="preserve"> es solo el costo operativo sin considerar un margen de utilidad ni inversiones de capital para mantener y mejorar la eficiencia operativa y garantizar la capacidad de compra de la fruta. Por lo tanto</w:t>
      </w:r>
      <w:r w:rsidR="00AA02AF">
        <w:rPr>
          <w:rFonts w:ascii="Arial" w:hAnsi="Arial" w:cs="Arial"/>
        </w:rPr>
        <w:t>,</w:t>
      </w:r>
      <w:r w:rsidR="009F0389" w:rsidRPr="00FD39E5">
        <w:rPr>
          <w:rFonts w:ascii="Arial" w:hAnsi="Arial" w:cs="Arial"/>
        </w:rPr>
        <w:t xml:space="preserve"> de fijarse un precio para la fruta a ese nivel sería imposible comprar la fruta a prec</w:t>
      </w:r>
      <w:r w:rsidR="00003CC5">
        <w:rPr>
          <w:rFonts w:ascii="Arial" w:hAnsi="Arial" w:cs="Arial"/>
        </w:rPr>
        <w:t>ios internacionales inferiores de</w:t>
      </w:r>
      <w:r w:rsidR="009F0389" w:rsidRPr="00FD39E5">
        <w:rPr>
          <w:rFonts w:ascii="Arial" w:hAnsi="Arial" w:cs="Arial"/>
        </w:rPr>
        <w:t xml:space="preserve"> $720/TM de aceite crudo de palma. </w:t>
      </w:r>
    </w:p>
    <w:p w:rsidR="001C5D79" w:rsidRPr="00123A3A" w:rsidRDefault="00123A3A" w:rsidP="00123A3A">
      <w:pPr>
        <w:spacing w:line="276" w:lineRule="auto"/>
        <w:jc w:val="both"/>
        <w:rPr>
          <w:rFonts w:ascii="Arial" w:hAnsi="Arial" w:cs="Arial"/>
        </w:rPr>
      </w:pPr>
      <w:r w:rsidRPr="00123A3A">
        <w:rPr>
          <w:rFonts w:ascii="Arial" w:hAnsi="Arial" w:cs="Arial"/>
        </w:rPr>
        <w:lastRenderedPageBreak/>
        <w:t xml:space="preserve">Las industrias </w:t>
      </w:r>
      <w:r w:rsidR="00302D78" w:rsidRPr="00123A3A">
        <w:rPr>
          <w:rFonts w:ascii="Arial" w:hAnsi="Arial" w:cs="Arial"/>
        </w:rPr>
        <w:t>no solamente realiza</w:t>
      </w:r>
      <w:r w:rsidRPr="00123A3A">
        <w:rPr>
          <w:rFonts w:ascii="Arial" w:hAnsi="Arial" w:cs="Arial"/>
        </w:rPr>
        <w:t>n</w:t>
      </w:r>
      <w:r w:rsidR="00302D78" w:rsidRPr="00123A3A">
        <w:rPr>
          <w:rFonts w:ascii="Arial" w:hAnsi="Arial" w:cs="Arial"/>
        </w:rPr>
        <w:t xml:space="preserve"> activ</w:t>
      </w:r>
      <w:r w:rsidR="001C5D79" w:rsidRPr="00123A3A">
        <w:rPr>
          <w:rFonts w:ascii="Arial" w:hAnsi="Arial" w:cs="Arial"/>
        </w:rPr>
        <w:t>idades de producción de fruta</w:t>
      </w:r>
      <w:r w:rsidR="00302D78" w:rsidRPr="00123A3A">
        <w:rPr>
          <w:rFonts w:ascii="Arial" w:hAnsi="Arial" w:cs="Arial"/>
        </w:rPr>
        <w:t xml:space="preserve"> </w:t>
      </w:r>
      <w:r w:rsidR="001C5D79" w:rsidRPr="00123A3A">
        <w:rPr>
          <w:rFonts w:ascii="Arial" w:hAnsi="Arial" w:cs="Arial"/>
        </w:rPr>
        <w:t>(</w:t>
      </w:r>
      <w:r w:rsidR="00302D78" w:rsidRPr="00123A3A">
        <w:rPr>
          <w:rFonts w:ascii="Arial" w:hAnsi="Arial" w:cs="Arial"/>
        </w:rPr>
        <w:t>c</w:t>
      </w:r>
      <w:r w:rsidR="001C5D79" w:rsidRPr="00123A3A">
        <w:rPr>
          <w:rFonts w:ascii="Arial" w:hAnsi="Arial" w:cs="Arial"/>
        </w:rPr>
        <w:t xml:space="preserve">ompra- </w:t>
      </w:r>
      <w:r w:rsidR="00302D78" w:rsidRPr="00123A3A">
        <w:rPr>
          <w:rFonts w:ascii="Arial" w:hAnsi="Arial" w:cs="Arial"/>
        </w:rPr>
        <w:t>venta</w:t>
      </w:r>
      <w:r w:rsidR="001C5D79" w:rsidRPr="00123A3A">
        <w:rPr>
          <w:rFonts w:ascii="Arial" w:hAnsi="Arial" w:cs="Arial"/>
        </w:rPr>
        <w:t>) también realiza un proceso de extracción y comercialización del aceite crudo y un pequeño porcentaje</w:t>
      </w:r>
      <w:r w:rsidR="00D673FD" w:rsidRPr="00123A3A">
        <w:rPr>
          <w:rFonts w:ascii="Arial" w:hAnsi="Arial" w:cs="Arial"/>
        </w:rPr>
        <w:t xml:space="preserve"> en producto con valor agregado, lo cual genera costos adicionales a la industria.</w:t>
      </w:r>
    </w:p>
    <w:p w:rsidR="001C5D79" w:rsidRDefault="001C5D79" w:rsidP="001C5D79">
      <w:pPr>
        <w:pStyle w:val="Sinespaciado"/>
      </w:pPr>
    </w:p>
    <w:p w:rsidR="00D8052F" w:rsidRDefault="00D673FD" w:rsidP="00D8052F">
      <w:pPr>
        <w:spacing w:line="276" w:lineRule="auto"/>
        <w:jc w:val="both"/>
        <w:rPr>
          <w:rFonts w:ascii="Arial" w:hAnsi="Arial" w:cs="Arial"/>
        </w:rPr>
      </w:pPr>
      <w:r>
        <w:rPr>
          <w:rFonts w:ascii="Arial" w:hAnsi="Arial" w:cs="Arial"/>
        </w:rPr>
        <w:t xml:space="preserve">Para producir una tonelada de aceite crudo, </w:t>
      </w:r>
      <w:r w:rsidR="00123A3A">
        <w:rPr>
          <w:rFonts w:ascii="Arial" w:hAnsi="Arial" w:cs="Arial"/>
        </w:rPr>
        <w:t xml:space="preserve">una </w:t>
      </w:r>
      <w:r w:rsidR="00B624E9">
        <w:rPr>
          <w:rFonts w:ascii="Arial" w:hAnsi="Arial" w:cs="Arial"/>
        </w:rPr>
        <w:t>industria requiere</w:t>
      </w:r>
      <w:r>
        <w:rPr>
          <w:rFonts w:ascii="Arial" w:hAnsi="Arial" w:cs="Arial"/>
        </w:rPr>
        <w:t xml:space="preserve"> una compra de 4,5 TM como mínimo, lo cual representa un costo de 68,5% solo de la materia prima al precio de compra actual de un 15% del precio internacional del aceite para el mes de entrega. </w:t>
      </w:r>
    </w:p>
    <w:p w:rsidR="00D8052F" w:rsidRDefault="00D8052F" w:rsidP="00D673FD">
      <w:pPr>
        <w:spacing w:line="276" w:lineRule="auto"/>
        <w:jc w:val="both"/>
        <w:rPr>
          <w:rFonts w:ascii="Arial" w:hAnsi="Arial" w:cs="Arial"/>
        </w:rPr>
      </w:pPr>
    </w:p>
    <w:p w:rsidR="00D673FD" w:rsidRPr="00FD2F6E" w:rsidRDefault="00123A3A" w:rsidP="00FD2F6E">
      <w:pPr>
        <w:spacing w:line="276" w:lineRule="auto"/>
        <w:jc w:val="both"/>
        <w:rPr>
          <w:rFonts w:ascii="Arial" w:hAnsi="Arial" w:cs="Arial"/>
        </w:rPr>
      </w:pPr>
      <w:r>
        <w:rPr>
          <w:rFonts w:ascii="Arial" w:hAnsi="Arial" w:cs="Arial"/>
        </w:rPr>
        <w:t xml:space="preserve">Coopeagropal </w:t>
      </w:r>
      <w:r w:rsidR="001C5D79">
        <w:rPr>
          <w:rFonts w:ascii="Arial" w:hAnsi="Arial" w:cs="Arial"/>
        </w:rPr>
        <w:t xml:space="preserve">efectúa una labor de tipo social y de proyección hacia la comunidad en general de la zona. </w:t>
      </w:r>
      <w:r w:rsidR="00D673FD">
        <w:rPr>
          <w:rFonts w:ascii="Arial" w:hAnsi="Arial" w:cs="Arial"/>
        </w:rPr>
        <w:t>La actividad de palma aceitera representa la actividad económica más importante de la región</w:t>
      </w:r>
      <w:r w:rsidR="00AA02AF">
        <w:rPr>
          <w:rFonts w:ascii="Arial" w:hAnsi="Arial" w:cs="Arial"/>
        </w:rPr>
        <w:t>,</w:t>
      </w:r>
      <w:r w:rsidR="00D673FD">
        <w:rPr>
          <w:rFonts w:ascii="Arial" w:hAnsi="Arial" w:cs="Arial"/>
        </w:rPr>
        <w:t xml:space="preserve"> alcanzando un movimiento económico de alrededor de un 60%. Coopeagropal a</w:t>
      </w:r>
      <w:r w:rsidR="001C5D79">
        <w:rPr>
          <w:rFonts w:ascii="Arial" w:hAnsi="Arial" w:cs="Arial"/>
        </w:rPr>
        <w:t>ctualmente cuenta con 1</w:t>
      </w:r>
      <w:r w:rsidR="00D673FD">
        <w:rPr>
          <w:rFonts w:ascii="Arial" w:hAnsi="Arial" w:cs="Arial"/>
        </w:rPr>
        <w:t>.</w:t>
      </w:r>
      <w:r w:rsidR="001C5D79">
        <w:rPr>
          <w:rFonts w:ascii="Arial" w:hAnsi="Arial" w:cs="Arial"/>
        </w:rPr>
        <w:t xml:space="preserve">129 productores entre asociados y no asociados, además de 480 colaboradores. </w:t>
      </w:r>
    </w:p>
    <w:p w:rsidR="00123A3A" w:rsidRDefault="00123A3A" w:rsidP="000C71DC">
      <w:pPr>
        <w:spacing w:line="276" w:lineRule="auto"/>
        <w:jc w:val="both"/>
        <w:rPr>
          <w:rFonts w:ascii="Arial" w:hAnsi="Arial" w:cs="Arial"/>
        </w:rPr>
      </w:pPr>
    </w:p>
    <w:p w:rsidR="00FD39E5" w:rsidRPr="000C71DC" w:rsidRDefault="00343460" w:rsidP="000C71DC">
      <w:pPr>
        <w:spacing w:line="276" w:lineRule="auto"/>
        <w:jc w:val="both"/>
        <w:rPr>
          <w:rFonts w:ascii="Arial" w:hAnsi="Arial" w:cs="Arial"/>
        </w:rPr>
      </w:pPr>
      <w:r>
        <w:rPr>
          <w:rFonts w:ascii="Arial" w:hAnsi="Arial" w:cs="Arial"/>
        </w:rPr>
        <w:t>A</w:t>
      </w:r>
      <w:r w:rsidR="001C5D79">
        <w:rPr>
          <w:rFonts w:ascii="Arial" w:hAnsi="Arial" w:cs="Arial"/>
        </w:rPr>
        <w:t xml:space="preserve">ctualmente </w:t>
      </w:r>
      <w:r w:rsidR="00D673FD">
        <w:rPr>
          <w:rFonts w:ascii="Arial" w:hAnsi="Arial" w:cs="Arial"/>
        </w:rPr>
        <w:t xml:space="preserve">Coopeagropal </w:t>
      </w:r>
      <w:r w:rsidR="001C5D79">
        <w:rPr>
          <w:rFonts w:ascii="Arial" w:hAnsi="Arial" w:cs="Arial"/>
        </w:rPr>
        <w:t xml:space="preserve">enfrenta una crisis financiera fuerte asociada al tema de </w:t>
      </w:r>
      <w:r w:rsidR="000C71DC">
        <w:rPr>
          <w:rFonts w:ascii="Arial" w:hAnsi="Arial" w:cs="Arial"/>
        </w:rPr>
        <w:t xml:space="preserve">bajos </w:t>
      </w:r>
      <w:r w:rsidR="001C5D79">
        <w:rPr>
          <w:rFonts w:ascii="Arial" w:hAnsi="Arial" w:cs="Arial"/>
        </w:rPr>
        <w:t xml:space="preserve">precios internacionales y a los bajos rendimientos </w:t>
      </w:r>
      <w:r w:rsidR="00D673FD">
        <w:rPr>
          <w:rFonts w:ascii="Arial" w:hAnsi="Arial" w:cs="Arial"/>
        </w:rPr>
        <w:t xml:space="preserve">de extracción de aceite en la fruta </w:t>
      </w:r>
      <w:r w:rsidR="00B624E9">
        <w:rPr>
          <w:rFonts w:ascii="Arial" w:hAnsi="Arial" w:cs="Arial"/>
        </w:rPr>
        <w:t>consecuencia de</w:t>
      </w:r>
      <w:r w:rsidR="00D673FD">
        <w:rPr>
          <w:rFonts w:ascii="Arial" w:hAnsi="Arial" w:cs="Arial"/>
        </w:rPr>
        <w:t xml:space="preserve"> factores climáticos y biológicos como la enfermedad conocida como “flecha seca” que redujo la producción agrícola en algunos casos hasta un 70% y esto conlleva a una baja en la extracción de aceite.</w:t>
      </w:r>
    </w:p>
    <w:p w:rsidR="00FD39E5" w:rsidRDefault="00FD39E5" w:rsidP="00EC270B">
      <w:pPr>
        <w:rPr>
          <w:rFonts w:cs="Arial"/>
          <w:lang w:val="es-CR"/>
        </w:rPr>
      </w:pPr>
    </w:p>
    <w:p w:rsidR="006E74CD" w:rsidRPr="007458D8" w:rsidRDefault="006E74CD" w:rsidP="006E74CD">
      <w:pPr>
        <w:spacing w:line="276" w:lineRule="auto"/>
        <w:jc w:val="both"/>
        <w:rPr>
          <w:rFonts w:ascii="Arial" w:hAnsi="Arial" w:cs="Arial"/>
          <w:lang w:val="es-CR"/>
        </w:rPr>
      </w:pPr>
      <w:r w:rsidRPr="007458D8">
        <w:rPr>
          <w:rFonts w:ascii="Arial" w:hAnsi="Arial" w:cs="Arial"/>
          <w:lang w:val="es-CR"/>
        </w:rPr>
        <w:t>Partiendo de los costos agrícolas aproximados y una extracción del 22% (en el modelo da 26,23%) la tonelada métrica para la extracción ascendería a los $527.27 más el costo promedio operativo de $193 (sin utilidad ni inversión) en promedio de los últimos años, genera un total de $720,20 y el mercado de futuros de aceite crudo de palma se ha cotizado en algunos momentos por debajo de este precio, esto genera que no se pueda fijar un precio de referencia para un producto que se exporta y depende de los precios internacionales que se encuentran deprimidos, adicionalmente, con un porcentaje de extracción que afecta estos resultados.</w:t>
      </w:r>
    </w:p>
    <w:p w:rsidR="006E74CD" w:rsidRDefault="006E74CD" w:rsidP="00EC270B">
      <w:pPr>
        <w:rPr>
          <w:rFonts w:cs="Arial"/>
          <w:lang w:val="es-CR"/>
        </w:rPr>
      </w:pPr>
    </w:p>
    <w:p w:rsidR="00123A3A" w:rsidRDefault="00123A3A" w:rsidP="00EC270B">
      <w:pPr>
        <w:rPr>
          <w:rFonts w:cs="Arial"/>
          <w:lang w:val="es-CR"/>
        </w:rPr>
      </w:pPr>
    </w:p>
    <w:p w:rsidR="00123A3A" w:rsidRDefault="00123A3A" w:rsidP="00EC270B">
      <w:pPr>
        <w:rPr>
          <w:rFonts w:cs="Arial"/>
          <w:lang w:val="es-CR"/>
        </w:rPr>
      </w:pPr>
    </w:p>
    <w:p w:rsidR="00ED5721" w:rsidRDefault="00ED5721" w:rsidP="00EC270B">
      <w:pPr>
        <w:rPr>
          <w:rFonts w:cs="Arial"/>
          <w:lang w:val="es-CR"/>
        </w:rPr>
      </w:pPr>
    </w:p>
    <w:p w:rsidR="00BD0C71" w:rsidRPr="0088405B" w:rsidRDefault="00BD0C71" w:rsidP="00BD0C71">
      <w:pPr>
        <w:pStyle w:val="Ttulo1"/>
      </w:pPr>
      <w:bookmarkStart w:id="141" w:name="_Toc52461401"/>
      <w:bookmarkStart w:id="142" w:name="_Toc35865830"/>
      <w:bookmarkStart w:id="143" w:name="_Toc63666231"/>
      <w:r w:rsidRPr="0088405B">
        <w:lastRenderedPageBreak/>
        <w:t>Conclusiones y recomendaciones</w:t>
      </w:r>
      <w:bookmarkEnd w:id="141"/>
      <w:bookmarkEnd w:id="143"/>
    </w:p>
    <w:p w:rsidR="00BD0C71" w:rsidRDefault="00BD0C71" w:rsidP="00BD0C71">
      <w:pPr>
        <w:rPr>
          <w:lang w:val="es-CR"/>
        </w:rPr>
      </w:pPr>
    </w:p>
    <w:p w:rsidR="00516603" w:rsidRDefault="00516603" w:rsidP="00516603">
      <w:pPr>
        <w:pStyle w:val="Ttulo2"/>
        <w:rPr>
          <w:lang w:val="es-CR"/>
        </w:rPr>
      </w:pPr>
      <w:bookmarkStart w:id="144" w:name="_Toc52461402"/>
      <w:bookmarkStart w:id="145" w:name="_Toc63666232"/>
      <w:bookmarkEnd w:id="142"/>
      <w:r w:rsidRPr="000A3038">
        <w:rPr>
          <w:lang w:val="es-CR"/>
        </w:rPr>
        <w:t>Conclusiones:</w:t>
      </w:r>
      <w:bookmarkEnd w:id="144"/>
      <w:bookmarkEnd w:id="145"/>
    </w:p>
    <w:p w:rsidR="00516603" w:rsidRDefault="00516603" w:rsidP="00516603">
      <w:pPr>
        <w:spacing w:line="276" w:lineRule="auto"/>
        <w:jc w:val="both"/>
        <w:rPr>
          <w:rFonts w:ascii="Arial" w:hAnsi="Arial" w:cs="Arial"/>
          <w:lang w:val="es-CR"/>
        </w:rPr>
      </w:pPr>
    </w:p>
    <w:p w:rsidR="00516603" w:rsidRDefault="00516603" w:rsidP="00516603">
      <w:pPr>
        <w:spacing w:line="276" w:lineRule="auto"/>
        <w:jc w:val="both"/>
        <w:rPr>
          <w:rFonts w:ascii="Arial" w:hAnsi="Arial" w:cs="Arial"/>
        </w:rPr>
      </w:pPr>
      <w:r w:rsidRPr="000A3038">
        <w:rPr>
          <w:rFonts w:ascii="Arial" w:hAnsi="Arial" w:cs="Arial"/>
        </w:rPr>
        <w:t>De la información analizada se desprenden las siguientes conclusiones:</w:t>
      </w:r>
    </w:p>
    <w:p w:rsidR="00516603" w:rsidRDefault="00516603" w:rsidP="00516603">
      <w:pPr>
        <w:spacing w:line="276" w:lineRule="auto"/>
        <w:jc w:val="both"/>
        <w:rPr>
          <w:rFonts w:ascii="Arial" w:hAnsi="Arial" w:cs="Arial"/>
        </w:rPr>
      </w:pPr>
    </w:p>
    <w:p w:rsidR="00516603" w:rsidRDefault="00516603" w:rsidP="00516603">
      <w:pPr>
        <w:jc w:val="both"/>
        <w:rPr>
          <w:rFonts w:ascii="Arial" w:hAnsi="Arial" w:cs="Arial"/>
          <w:b/>
          <w:u w:val="single"/>
        </w:rPr>
      </w:pPr>
      <w:r w:rsidRPr="00E74F4C">
        <w:rPr>
          <w:rFonts w:ascii="Arial" w:hAnsi="Arial" w:cs="Arial"/>
          <w:b/>
          <w:u w:val="single"/>
        </w:rPr>
        <w:t>En cuanto a las condiciones en el precio de fruta que se paga al productor se constata que:</w:t>
      </w:r>
    </w:p>
    <w:p w:rsidR="00516603" w:rsidRPr="00E74F4C" w:rsidRDefault="00516603" w:rsidP="00516603">
      <w:pPr>
        <w:rPr>
          <w:rFonts w:ascii="Arial" w:hAnsi="Arial" w:cs="Arial"/>
          <w:b/>
          <w:u w:val="single"/>
        </w:rPr>
      </w:pPr>
    </w:p>
    <w:p w:rsidR="00516603" w:rsidRDefault="00516603" w:rsidP="00516603">
      <w:pPr>
        <w:pStyle w:val="Prrafodelista"/>
        <w:numPr>
          <w:ilvl w:val="0"/>
          <w:numId w:val="18"/>
        </w:numPr>
        <w:spacing w:line="276" w:lineRule="auto"/>
        <w:ind w:left="360"/>
        <w:jc w:val="both"/>
        <w:rPr>
          <w:rFonts w:ascii="Arial" w:hAnsi="Arial" w:cs="Arial"/>
          <w:lang w:val="es-CR"/>
        </w:rPr>
      </w:pPr>
      <w:r w:rsidRPr="00E312EF">
        <w:rPr>
          <w:rFonts w:ascii="Arial" w:hAnsi="Arial" w:cs="Arial"/>
          <w:lang w:val="es-CR"/>
        </w:rPr>
        <w:t xml:space="preserve">El precio internacional es </w:t>
      </w:r>
      <w:r w:rsidRPr="004C351B">
        <w:rPr>
          <w:rFonts w:ascii="Arial" w:hAnsi="Arial" w:cs="Arial"/>
          <w:b/>
          <w:bCs/>
          <w:lang w:val="es-CR"/>
        </w:rPr>
        <w:t>el primer parámetro</w:t>
      </w:r>
      <w:r w:rsidRPr="00E312EF">
        <w:rPr>
          <w:rFonts w:ascii="Arial" w:hAnsi="Arial" w:cs="Arial"/>
          <w:lang w:val="es-CR"/>
        </w:rPr>
        <w:t xml:space="preserve"> </w:t>
      </w:r>
      <w:r>
        <w:rPr>
          <w:rFonts w:ascii="Arial" w:hAnsi="Arial" w:cs="Arial"/>
          <w:lang w:val="es-CR"/>
        </w:rPr>
        <w:t>para</w:t>
      </w:r>
      <w:r w:rsidRPr="00E312EF">
        <w:rPr>
          <w:rFonts w:ascii="Arial" w:hAnsi="Arial" w:cs="Arial"/>
          <w:lang w:val="es-CR"/>
        </w:rPr>
        <w:t xml:space="preserve"> la determinación del precio que pagan las industrias Palma Tica S.A y Coopeagropal R.L</w:t>
      </w:r>
      <w:r>
        <w:rPr>
          <w:rFonts w:ascii="Arial" w:hAnsi="Arial" w:cs="Arial"/>
          <w:lang w:val="es-CR"/>
        </w:rPr>
        <w:t>. a los productores de palma.</w:t>
      </w:r>
      <w:r w:rsidRPr="00E312EF">
        <w:rPr>
          <w:rFonts w:ascii="Arial" w:hAnsi="Arial" w:cs="Arial"/>
          <w:lang w:val="es-CR"/>
        </w:rPr>
        <w:t xml:space="preserve">  </w:t>
      </w:r>
    </w:p>
    <w:p w:rsidR="00516603" w:rsidRPr="00411C0B" w:rsidRDefault="00516603" w:rsidP="00516603">
      <w:pPr>
        <w:pStyle w:val="Prrafodelista"/>
        <w:numPr>
          <w:ilvl w:val="0"/>
          <w:numId w:val="18"/>
        </w:numPr>
        <w:spacing w:line="276" w:lineRule="auto"/>
        <w:ind w:left="360"/>
        <w:jc w:val="both"/>
        <w:rPr>
          <w:rFonts w:ascii="Arial" w:hAnsi="Arial" w:cs="Arial"/>
          <w:lang w:val="es-CR"/>
        </w:rPr>
      </w:pPr>
      <w:r w:rsidRPr="00411C0B">
        <w:rPr>
          <w:rFonts w:ascii="Arial" w:hAnsi="Arial" w:cs="Arial"/>
          <w:lang w:val="es-CR"/>
        </w:rPr>
        <w:t xml:space="preserve">Costa Rica no tiene incidencia sobre el precio internacional, </w:t>
      </w:r>
      <w:r>
        <w:rPr>
          <w:rFonts w:ascii="Arial" w:hAnsi="Arial" w:cs="Arial"/>
          <w:lang w:val="es-CR"/>
        </w:rPr>
        <w:t xml:space="preserve">por lo que </w:t>
      </w:r>
      <w:r w:rsidRPr="00411C0B">
        <w:rPr>
          <w:rFonts w:ascii="Arial" w:hAnsi="Arial" w:cs="Arial"/>
          <w:lang w:val="es-CR"/>
        </w:rPr>
        <w:t xml:space="preserve">las industrias </w:t>
      </w:r>
      <w:r>
        <w:rPr>
          <w:rFonts w:ascii="Arial" w:hAnsi="Arial" w:cs="Arial"/>
          <w:lang w:val="es-CR"/>
        </w:rPr>
        <w:t xml:space="preserve">locales </w:t>
      </w:r>
      <w:r w:rsidRPr="00411C0B">
        <w:rPr>
          <w:rFonts w:ascii="Arial" w:hAnsi="Arial" w:cs="Arial"/>
          <w:lang w:val="es-CR"/>
        </w:rPr>
        <w:t xml:space="preserve">son tomadoras </w:t>
      </w:r>
      <w:r>
        <w:rPr>
          <w:rFonts w:ascii="Arial" w:hAnsi="Arial" w:cs="Arial"/>
          <w:lang w:val="es-CR"/>
        </w:rPr>
        <w:t>de este precio</w:t>
      </w:r>
      <w:r w:rsidRPr="00411C0B">
        <w:rPr>
          <w:rFonts w:ascii="Arial" w:hAnsi="Arial" w:cs="Arial"/>
          <w:lang w:val="es-CR"/>
        </w:rPr>
        <w:t>.</w:t>
      </w:r>
    </w:p>
    <w:p w:rsidR="00516603" w:rsidRPr="00411C0B" w:rsidRDefault="00516603" w:rsidP="00516603">
      <w:pPr>
        <w:pStyle w:val="Prrafodelista"/>
        <w:numPr>
          <w:ilvl w:val="0"/>
          <w:numId w:val="18"/>
        </w:numPr>
        <w:spacing w:line="276" w:lineRule="auto"/>
        <w:ind w:left="360"/>
        <w:jc w:val="both"/>
        <w:rPr>
          <w:rFonts w:ascii="Arial" w:hAnsi="Arial" w:cs="Arial"/>
          <w:lang w:val="es-CR"/>
        </w:rPr>
      </w:pPr>
      <w:r>
        <w:rPr>
          <w:rFonts w:ascii="Arial" w:hAnsi="Arial" w:cs="Arial"/>
          <w:lang w:val="es-CR"/>
        </w:rPr>
        <w:t>En los últimos años el precio internacional ha mantenido un comportamiento decreciente, lo cual genera una reducción del precio pagado al productor. Para años anteriores al período en estudio se presentó un comportamiento contrario, es decir, casos donde</w:t>
      </w:r>
      <w:r w:rsidRPr="00411C0B">
        <w:rPr>
          <w:rFonts w:ascii="Arial" w:hAnsi="Arial" w:cs="Arial"/>
          <w:lang w:val="es-CR"/>
        </w:rPr>
        <w:t xml:space="preserve"> </w:t>
      </w:r>
      <w:r>
        <w:rPr>
          <w:rFonts w:ascii="Arial" w:hAnsi="Arial" w:cs="Arial"/>
          <w:lang w:val="es-CR"/>
        </w:rPr>
        <w:t xml:space="preserve">el </w:t>
      </w:r>
      <w:r w:rsidRPr="00411C0B">
        <w:rPr>
          <w:rFonts w:ascii="Arial" w:hAnsi="Arial" w:cs="Arial"/>
          <w:lang w:val="es-CR"/>
        </w:rPr>
        <w:t xml:space="preserve">precio internacional </w:t>
      </w:r>
      <w:r>
        <w:rPr>
          <w:rFonts w:ascii="Arial" w:hAnsi="Arial" w:cs="Arial"/>
          <w:lang w:val="es-CR"/>
        </w:rPr>
        <w:t>fue</w:t>
      </w:r>
      <w:r w:rsidRPr="00411C0B">
        <w:rPr>
          <w:rFonts w:ascii="Arial" w:hAnsi="Arial" w:cs="Arial"/>
          <w:lang w:val="es-CR"/>
        </w:rPr>
        <w:t xml:space="preserve"> alto,</w:t>
      </w:r>
      <w:r>
        <w:rPr>
          <w:rFonts w:ascii="Arial" w:hAnsi="Arial" w:cs="Arial"/>
          <w:lang w:val="es-CR"/>
        </w:rPr>
        <w:t xml:space="preserve"> el cual llevó a </w:t>
      </w:r>
      <w:r w:rsidRPr="00411C0B">
        <w:rPr>
          <w:rFonts w:ascii="Arial" w:hAnsi="Arial" w:cs="Arial"/>
          <w:lang w:val="es-CR"/>
        </w:rPr>
        <w:t>una mejora significativa en el precio pagado al productor</w:t>
      </w:r>
      <w:r>
        <w:rPr>
          <w:rFonts w:ascii="Arial" w:hAnsi="Arial" w:cs="Arial"/>
          <w:lang w:val="es-CR"/>
        </w:rPr>
        <w:t xml:space="preserve"> local</w:t>
      </w:r>
      <w:r w:rsidRPr="00411C0B">
        <w:rPr>
          <w:rFonts w:ascii="Arial" w:hAnsi="Arial" w:cs="Arial"/>
          <w:lang w:val="es-CR"/>
        </w:rPr>
        <w:t>.</w:t>
      </w:r>
    </w:p>
    <w:p w:rsidR="00516603" w:rsidRDefault="00516603" w:rsidP="00516603">
      <w:pPr>
        <w:pStyle w:val="Prrafodelista"/>
        <w:numPr>
          <w:ilvl w:val="0"/>
          <w:numId w:val="18"/>
        </w:numPr>
        <w:spacing w:line="276" w:lineRule="auto"/>
        <w:ind w:left="360"/>
        <w:jc w:val="both"/>
        <w:rPr>
          <w:rFonts w:ascii="Arial" w:hAnsi="Arial" w:cs="Arial"/>
          <w:lang w:val="es-CR"/>
        </w:rPr>
      </w:pPr>
      <w:r w:rsidRPr="00DA2FE2">
        <w:rPr>
          <w:rFonts w:ascii="Arial" w:hAnsi="Arial" w:cs="Arial"/>
          <w:lang w:val="es-CR"/>
        </w:rPr>
        <w:t>El porcentaje promedio pagado por la industria para el período 2010-2018 fue de 15,2%.</w:t>
      </w:r>
      <w:r>
        <w:rPr>
          <w:rFonts w:ascii="Arial" w:hAnsi="Arial" w:cs="Arial"/>
          <w:lang w:val="es-CR"/>
        </w:rPr>
        <w:t xml:space="preserve"> Actualmente Palma Tica S.A se encuentra pagando 15% y Coopeagropal R.L un 15,5% sobre el precio internacional por tonelada métrica.</w:t>
      </w:r>
    </w:p>
    <w:p w:rsidR="00516603" w:rsidRPr="003C3A05" w:rsidRDefault="00516603" w:rsidP="00516603">
      <w:pPr>
        <w:pStyle w:val="Prrafodelista"/>
        <w:numPr>
          <w:ilvl w:val="0"/>
          <w:numId w:val="18"/>
        </w:numPr>
        <w:spacing w:line="276" w:lineRule="auto"/>
        <w:ind w:left="360"/>
        <w:jc w:val="both"/>
        <w:rPr>
          <w:rFonts w:ascii="Arial" w:hAnsi="Arial" w:cs="Arial"/>
          <w:lang w:val="es-CR"/>
        </w:rPr>
      </w:pPr>
      <w:r w:rsidRPr="003C3A05">
        <w:rPr>
          <w:rFonts w:ascii="Arial" w:hAnsi="Arial" w:cs="Arial"/>
          <w:lang w:val="es-CR"/>
        </w:rPr>
        <w:t xml:space="preserve">En el período analizado 2010-2018 se puede observar que el precio internacional promedio del año 2018 fue de US$ 598 por tonelada métrica, el más bajo </w:t>
      </w:r>
      <w:r>
        <w:rPr>
          <w:rFonts w:ascii="Arial" w:hAnsi="Arial" w:cs="Arial"/>
          <w:lang w:val="es-CR"/>
        </w:rPr>
        <w:t xml:space="preserve">de toda la serie analizada. Sin </w:t>
      </w:r>
      <w:r w:rsidRPr="003C3A05">
        <w:rPr>
          <w:rFonts w:ascii="Arial" w:hAnsi="Arial" w:cs="Arial"/>
          <w:lang w:val="es-CR"/>
        </w:rPr>
        <w:t>embargo, el precio internacional promedio del año 2019 fue de US$ 566 por tonelada métrica</w:t>
      </w:r>
      <w:r>
        <w:rPr>
          <w:rFonts w:ascii="Arial" w:hAnsi="Arial" w:cs="Arial"/>
          <w:lang w:val="es-CR"/>
        </w:rPr>
        <w:t>,</w:t>
      </w:r>
      <w:r w:rsidRPr="003C3A05">
        <w:rPr>
          <w:rFonts w:ascii="Arial" w:hAnsi="Arial" w:cs="Arial"/>
          <w:lang w:val="es-CR"/>
        </w:rPr>
        <w:t xml:space="preserve"> siendo inferior al registrado en el 2018.</w:t>
      </w:r>
      <w:r>
        <w:rPr>
          <w:rFonts w:ascii="Arial" w:hAnsi="Arial" w:cs="Arial"/>
          <w:lang w:val="es-CR"/>
        </w:rPr>
        <w:t xml:space="preserve"> </w:t>
      </w:r>
      <w:r w:rsidRPr="003C3A05">
        <w:rPr>
          <w:rFonts w:ascii="Arial" w:hAnsi="Arial" w:cs="Arial"/>
          <w:lang w:val="es-CR"/>
        </w:rPr>
        <w:t>Para el año 2020 el precio internacional promedio fue de US$ 715 por tonelada métrica</w:t>
      </w:r>
      <w:r>
        <w:rPr>
          <w:rFonts w:ascii="Arial" w:hAnsi="Arial" w:cs="Arial"/>
          <w:lang w:val="es-CR"/>
        </w:rPr>
        <w:t>,</w:t>
      </w:r>
      <w:r w:rsidRPr="003C3A05">
        <w:rPr>
          <w:rFonts w:ascii="Arial" w:hAnsi="Arial" w:cs="Arial"/>
          <w:lang w:val="es-CR"/>
        </w:rPr>
        <w:t xml:space="preserve"> datos que se pueden</w:t>
      </w:r>
      <w:r>
        <w:rPr>
          <w:rFonts w:ascii="Arial" w:hAnsi="Arial" w:cs="Arial"/>
          <w:lang w:val="es-CR"/>
        </w:rPr>
        <w:t xml:space="preserve"> confirmar</w:t>
      </w:r>
      <w:r w:rsidRPr="003C3A05">
        <w:rPr>
          <w:rFonts w:ascii="Arial" w:hAnsi="Arial" w:cs="Arial"/>
          <w:lang w:val="es-CR"/>
        </w:rPr>
        <w:t xml:space="preserve"> en el siguiente enlace </w:t>
      </w:r>
      <w:hyperlink r:id="rId29" w:history="1">
        <w:r w:rsidRPr="003C3A05">
          <w:rPr>
            <w:rStyle w:val="Hipervnculo"/>
            <w:rFonts w:ascii="Arial" w:hAnsi="Arial" w:cs="Arial"/>
            <w:lang w:val="es-CR"/>
          </w:rPr>
          <w:t>http://www.canapalma.cr/?page_id=3422</w:t>
        </w:r>
      </w:hyperlink>
      <w:r w:rsidRPr="003C3A05">
        <w:rPr>
          <w:rFonts w:ascii="Arial" w:hAnsi="Arial" w:cs="Arial"/>
          <w:lang w:val="es-CR"/>
        </w:rPr>
        <w:t xml:space="preserve">  </w:t>
      </w:r>
    </w:p>
    <w:p w:rsidR="00516603" w:rsidRDefault="00516603" w:rsidP="00863140">
      <w:pPr>
        <w:pStyle w:val="Sinespaciado"/>
        <w:rPr>
          <w:lang w:val="es-CR"/>
        </w:rPr>
      </w:pPr>
    </w:p>
    <w:p w:rsidR="00516603" w:rsidRPr="009477DE" w:rsidRDefault="00516603" w:rsidP="00516603">
      <w:pPr>
        <w:pStyle w:val="Prrafodelista"/>
        <w:spacing w:line="276" w:lineRule="auto"/>
        <w:jc w:val="both"/>
        <w:rPr>
          <w:rFonts w:ascii="Arial" w:hAnsi="Arial" w:cs="Arial"/>
          <w:lang w:val="es-CR"/>
        </w:rPr>
      </w:pPr>
    </w:p>
    <w:p w:rsidR="00516603" w:rsidRPr="00C76146" w:rsidRDefault="00516603" w:rsidP="00516603">
      <w:pPr>
        <w:jc w:val="both"/>
        <w:rPr>
          <w:rFonts w:ascii="Arial" w:hAnsi="Arial" w:cs="Arial"/>
          <w:b/>
          <w:u w:val="single"/>
        </w:rPr>
      </w:pPr>
      <w:r w:rsidRPr="00E74F4C">
        <w:rPr>
          <w:rFonts w:ascii="Arial" w:hAnsi="Arial" w:cs="Arial"/>
          <w:b/>
          <w:u w:val="single"/>
        </w:rPr>
        <w:t xml:space="preserve">En cuanto a las condiciones </w:t>
      </w:r>
      <w:r>
        <w:rPr>
          <w:rFonts w:ascii="Arial" w:hAnsi="Arial" w:cs="Arial"/>
          <w:b/>
          <w:u w:val="single"/>
        </w:rPr>
        <w:t>sobre la calidad de la fruta de palma</w:t>
      </w:r>
      <w:r w:rsidRPr="00B05EC6">
        <w:rPr>
          <w:rFonts w:ascii="Arial" w:hAnsi="Arial" w:cs="Arial"/>
          <w:b/>
          <w:u w:val="single"/>
        </w:rPr>
        <w:t xml:space="preserve"> </w:t>
      </w:r>
      <w:r w:rsidRPr="00E74F4C">
        <w:rPr>
          <w:rFonts w:ascii="Arial" w:hAnsi="Arial" w:cs="Arial"/>
          <w:b/>
          <w:u w:val="single"/>
        </w:rPr>
        <w:t>se constata que:</w:t>
      </w:r>
    </w:p>
    <w:p w:rsidR="00516603" w:rsidRPr="007D1DA8" w:rsidRDefault="00516603" w:rsidP="00516603">
      <w:pPr>
        <w:pStyle w:val="Sinespaciado"/>
      </w:pPr>
    </w:p>
    <w:p w:rsidR="00516603" w:rsidRPr="000033F0" w:rsidRDefault="00516603" w:rsidP="00516603">
      <w:pPr>
        <w:pStyle w:val="Prrafodelista"/>
        <w:numPr>
          <w:ilvl w:val="0"/>
          <w:numId w:val="18"/>
        </w:numPr>
        <w:spacing w:line="276" w:lineRule="auto"/>
        <w:ind w:left="360"/>
        <w:jc w:val="both"/>
        <w:rPr>
          <w:rFonts w:ascii="Arial" w:hAnsi="Arial" w:cs="Arial"/>
          <w:lang w:val="es-CR"/>
        </w:rPr>
      </w:pPr>
      <w:r w:rsidRPr="000033F0">
        <w:rPr>
          <w:rFonts w:ascii="Arial" w:hAnsi="Arial" w:cs="Arial"/>
          <w:lang w:val="es-CR"/>
        </w:rPr>
        <w:t xml:space="preserve">El </w:t>
      </w:r>
      <w:r w:rsidRPr="004C351B">
        <w:rPr>
          <w:rFonts w:ascii="Arial" w:hAnsi="Arial" w:cs="Arial"/>
          <w:b/>
          <w:bCs/>
          <w:lang w:val="es-CR"/>
        </w:rPr>
        <w:t>segundo parámetro</w:t>
      </w:r>
      <w:r w:rsidRPr="0010554C">
        <w:rPr>
          <w:rFonts w:ascii="Arial" w:hAnsi="Arial" w:cs="Arial"/>
          <w:lang w:val="es-CR"/>
        </w:rPr>
        <w:t xml:space="preserve"> </w:t>
      </w:r>
      <w:r w:rsidRPr="000033F0">
        <w:rPr>
          <w:rFonts w:ascii="Arial" w:hAnsi="Arial" w:cs="Arial"/>
          <w:lang w:val="es-CR"/>
        </w:rPr>
        <w:t xml:space="preserve">en la determinación del precio que pagan las industrias Palma Tica S.A y Coopeagropal R.L a los productores de palma </w:t>
      </w:r>
      <w:r>
        <w:rPr>
          <w:rFonts w:ascii="Arial" w:hAnsi="Arial" w:cs="Arial"/>
          <w:lang w:val="es-CR"/>
        </w:rPr>
        <w:t>su</w:t>
      </w:r>
      <w:r w:rsidRPr="000033F0">
        <w:rPr>
          <w:rFonts w:ascii="Arial" w:hAnsi="Arial" w:cs="Arial"/>
          <w:lang w:val="es-CR"/>
        </w:rPr>
        <w:t xml:space="preserve"> </w:t>
      </w:r>
      <w:r w:rsidRPr="000033F0">
        <w:rPr>
          <w:rFonts w:ascii="Arial" w:hAnsi="Arial" w:cs="Arial"/>
          <w:lang w:val="es-CR"/>
        </w:rPr>
        <w:lastRenderedPageBreak/>
        <w:t xml:space="preserve">la calidad. Las dos industrias mantienen mecanismos de pago diferenciado asociado a la calidad de la fruta. </w:t>
      </w:r>
    </w:p>
    <w:p w:rsidR="00516603" w:rsidRPr="009C3722" w:rsidRDefault="00516603" w:rsidP="00516603">
      <w:pPr>
        <w:pStyle w:val="Prrafodelista"/>
        <w:numPr>
          <w:ilvl w:val="0"/>
          <w:numId w:val="18"/>
        </w:numPr>
        <w:spacing w:line="276" w:lineRule="auto"/>
        <w:ind w:left="360"/>
        <w:jc w:val="both"/>
        <w:rPr>
          <w:rFonts w:ascii="Arial" w:hAnsi="Arial" w:cs="Arial"/>
          <w:lang w:val="es-CR"/>
        </w:rPr>
      </w:pPr>
      <w:r w:rsidRPr="00691923">
        <w:rPr>
          <w:rFonts w:ascii="Arial" w:hAnsi="Arial" w:cs="Arial"/>
          <w:lang w:val="es-CR"/>
        </w:rPr>
        <w:t>La metodología de Palma Tica</w:t>
      </w:r>
      <w:r>
        <w:rPr>
          <w:rFonts w:ascii="Arial" w:hAnsi="Arial" w:cs="Arial"/>
          <w:lang w:val="es-CR"/>
        </w:rPr>
        <w:t xml:space="preserve"> S.A</w:t>
      </w:r>
      <w:r w:rsidRPr="00691923">
        <w:rPr>
          <w:rFonts w:ascii="Arial" w:hAnsi="Arial" w:cs="Arial"/>
          <w:lang w:val="es-CR"/>
        </w:rPr>
        <w:t xml:space="preserve"> </w:t>
      </w:r>
      <w:r>
        <w:rPr>
          <w:rFonts w:ascii="Arial" w:hAnsi="Arial" w:cs="Arial"/>
          <w:lang w:val="es-CR"/>
        </w:rPr>
        <w:t>se basa</w:t>
      </w:r>
      <w:r w:rsidRPr="00691923">
        <w:rPr>
          <w:rFonts w:ascii="Arial" w:hAnsi="Arial" w:cs="Arial"/>
          <w:lang w:val="es-CR"/>
        </w:rPr>
        <w:t xml:space="preserve"> </w:t>
      </w:r>
      <w:r>
        <w:rPr>
          <w:rFonts w:ascii="Arial" w:hAnsi="Arial" w:cs="Arial"/>
          <w:lang w:val="es-CR"/>
        </w:rPr>
        <w:t>en un</w:t>
      </w:r>
      <w:r w:rsidRPr="00691923">
        <w:rPr>
          <w:rFonts w:ascii="Arial" w:hAnsi="Arial" w:cs="Arial"/>
          <w:lang w:val="es-CR"/>
        </w:rPr>
        <w:t xml:space="preserve"> </w:t>
      </w:r>
      <w:r>
        <w:rPr>
          <w:rFonts w:ascii="Arial" w:hAnsi="Arial" w:cs="Arial"/>
          <w:lang w:val="es-CR"/>
        </w:rPr>
        <w:t xml:space="preserve">factor combinado de calidades de los racimos, el porcentaje de fruta suelta, acidez de la fruta y si los productores son certificados con RSPO </w:t>
      </w:r>
      <w:r w:rsidRPr="007F599E">
        <w:rPr>
          <w:rFonts w:ascii="Arial" w:hAnsi="Arial" w:cs="Arial"/>
          <w:lang w:val="es-CR"/>
        </w:rPr>
        <w:t>(Roundtable on Sustainable Palm Oil)</w:t>
      </w:r>
      <w:r>
        <w:rPr>
          <w:rFonts w:ascii="Arial" w:hAnsi="Arial" w:cs="Arial"/>
          <w:lang w:val="es-CR"/>
        </w:rPr>
        <w:t xml:space="preserve">. </w:t>
      </w:r>
    </w:p>
    <w:p w:rsidR="00516603" w:rsidRDefault="00516603" w:rsidP="00516603">
      <w:pPr>
        <w:pStyle w:val="Prrafodelista"/>
        <w:numPr>
          <w:ilvl w:val="0"/>
          <w:numId w:val="18"/>
        </w:numPr>
        <w:spacing w:line="276" w:lineRule="auto"/>
        <w:ind w:left="360"/>
        <w:jc w:val="both"/>
        <w:rPr>
          <w:rFonts w:ascii="Arial" w:hAnsi="Arial" w:cs="Arial"/>
          <w:lang w:val="es-CR"/>
        </w:rPr>
      </w:pPr>
      <w:r>
        <w:rPr>
          <w:rFonts w:ascii="Arial" w:hAnsi="Arial" w:cs="Arial"/>
          <w:lang w:val="es-CR"/>
        </w:rPr>
        <w:t xml:space="preserve">Coopeagropal R.L utiliza un mecanismo de premios y descuentos asociados a la cantidad de coyol que se entrega y al factor combinado. </w:t>
      </w:r>
    </w:p>
    <w:p w:rsidR="00516603" w:rsidRPr="00AA5ADA" w:rsidRDefault="00516603" w:rsidP="00516603">
      <w:pPr>
        <w:pStyle w:val="Prrafodelista"/>
        <w:numPr>
          <w:ilvl w:val="0"/>
          <w:numId w:val="18"/>
        </w:numPr>
        <w:spacing w:line="276" w:lineRule="auto"/>
        <w:ind w:left="360"/>
        <w:jc w:val="both"/>
        <w:rPr>
          <w:rFonts w:ascii="Arial" w:hAnsi="Arial" w:cs="Arial"/>
          <w:lang w:val="es-CR"/>
        </w:rPr>
      </w:pPr>
      <w:r w:rsidRPr="00AA5ADA">
        <w:rPr>
          <w:rFonts w:ascii="Arial" w:hAnsi="Arial" w:cs="Arial"/>
          <w:bCs/>
        </w:rPr>
        <w:t xml:space="preserve">Las industrias reciben la fruta, </w:t>
      </w:r>
      <w:r>
        <w:rPr>
          <w:rFonts w:ascii="Arial" w:hAnsi="Arial" w:cs="Arial"/>
          <w:bCs/>
        </w:rPr>
        <w:t xml:space="preserve">si las calidades </w:t>
      </w:r>
      <w:r w:rsidRPr="00AA5ADA">
        <w:rPr>
          <w:rFonts w:ascii="Arial" w:hAnsi="Arial" w:cs="Arial"/>
          <w:bCs/>
        </w:rPr>
        <w:t xml:space="preserve">no son óptimas, aplican el modelo de </w:t>
      </w:r>
      <w:r>
        <w:rPr>
          <w:rFonts w:ascii="Arial" w:hAnsi="Arial" w:cs="Arial"/>
          <w:bCs/>
        </w:rPr>
        <w:t>análisis de la calidad</w:t>
      </w:r>
      <w:r w:rsidRPr="00AA5ADA">
        <w:rPr>
          <w:rFonts w:ascii="Arial" w:hAnsi="Arial" w:cs="Arial"/>
          <w:bCs/>
        </w:rPr>
        <w:t xml:space="preserve">, disminuyendo el precio para el productor si la calidad no es </w:t>
      </w:r>
      <w:r>
        <w:rPr>
          <w:rFonts w:ascii="Arial" w:hAnsi="Arial" w:cs="Arial"/>
          <w:bCs/>
        </w:rPr>
        <w:t xml:space="preserve">la </w:t>
      </w:r>
      <w:r w:rsidRPr="00AA5ADA">
        <w:rPr>
          <w:rFonts w:ascii="Arial" w:hAnsi="Arial" w:cs="Arial"/>
          <w:bCs/>
        </w:rPr>
        <w:t xml:space="preserve">adecuada, ya </w:t>
      </w:r>
      <w:r>
        <w:rPr>
          <w:rFonts w:ascii="Arial" w:hAnsi="Arial" w:cs="Arial"/>
          <w:bCs/>
        </w:rPr>
        <w:t>que la industria debe procesar la fruta</w:t>
      </w:r>
      <w:r w:rsidRPr="00AA5ADA">
        <w:rPr>
          <w:rFonts w:ascii="Arial" w:hAnsi="Arial" w:cs="Arial"/>
          <w:bCs/>
        </w:rPr>
        <w:t xml:space="preserve"> y la calidad incide en el rendimiento que obtiene</w:t>
      </w:r>
      <w:r>
        <w:rPr>
          <w:rFonts w:ascii="Arial" w:hAnsi="Arial" w:cs="Arial"/>
          <w:bCs/>
        </w:rPr>
        <w:t>n</w:t>
      </w:r>
      <w:r w:rsidRPr="00AA5ADA">
        <w:rPr>
          <w:rFonts w:ascii="Arial" w:hAnsi="Arial" w:cs="Arial"/>
          <w:bCs/>
        </w:rPr>
        <w:t xml:space="preserve">. </w:t>
      </w:r>
    </w:p>
    <w:p w:rsidR="00516603" w:rsidRPr="003A01CB" w:rsidRDefault="00516603" w:rsidP="00516603">
      <w:pPr>
        <w:pStyle w:val="Sinespaciado"/>
      </w:pPr>
    </w:p>
    <w:p w:rsidR="00516603" w:rsidRPr="003A01CB" w:rsidRDefault="00516603" w:rsidP="00516603">
      <w:pPr>
        <w:jc w:val="both"/>
        <w:rPr>
          <w:rFonts w:ascii="Arial" w:hAnsi="Arial" w:cs="Arial"/>
          <w:b/>
          <w:u w:val="single"/>
        </w:rPr>
      </w:pPr>
      <w:r w:rsidRPr="00E74F4C">
        <w:rPr>
          <w:rFonts w:ascii="Arial" w:hAnsi="Arial" w:cs="Arial"/>
          <w:b/>
          <w:u w:val="single"/>
        </w:rPr>
        <w:t xml:space="preserve">En cuanto a las condiciones del productor se tiene: </w:t>
      </w:r>
      <w:r w:rsidRPr="003A01CB">
        <w:rPr>
          <w:rFonts w:ascii="Arial" w:hAnsi="Arial" w:cs="Arial"/>
          <w:b/>
          <w:u w:val="single"/>
        </w:rPr>
        <w:t xml:space="preserve"> </w:t>
      </w:r>
    </w:p>
    <w:p w:rsidR="00516603" w:rsidRDefault="00516603" w:rsidP="00516603">
      <w:pPr>
        <w:spacing w:line="276" w:lineRule="auto"/>
        <w:ind w:left="360"/>
        <w:jc w:val="both"/>
        <w:rPr>
          <w:rFonts w:ascii="Arial" w:hAnsi="Arial" w:cs="Arial"/>
          <w:b/>
          <w:lang w:val="es-CR"/>
        </w:rPr>
      </w:pPr>
    </w:p>
    <w:p w:rsidR="00516603" w:rsidRPr="00540715" w:rsidRDefault="00516603" w:rsidP="00516603">
      <w:pPr>
        <w:pStyle w:val="Prrafodelista"/>
        <w:numPr>
          <w:ilvl w:val="0"/>
          <w:numId w:val="18"/>
        </w:numPr>
        <w:spacing w:line="276" w:lineRule="auto"/>
        <w:ind w:left="360"/>
        <w:jc w:val="both"/>
        <w:rPr>
          <w:rFonts w:ascii="Arial" w:hAnsi="Arial" w:cs="Arial"/>
          <w:lang w:val="es-CR"/>
        </w:rPr>
      </w:pPr>
      <w:r>
        <w:rPr>
          <w:rFonts w:ascii="Arial" w:hAnsi="Arial" w:cs="Arial"/>
          <w:lang w:val="es-CR"/>
        </w:rPr>
        <w:t>Se cuenta con</w:t>
      </w:r>
      <w:r w:rsidRPr="00540715">
        <w:rPr>
          <w:rFonts w:ascii="Arial" w:hAnsi="Arial" w:cs="Arial"/>
          <w:lang w:val="es-CR"/>
        </w:rPr>
        <w:t xml:space="preserve"> cerca de 3.000 productores dedicados a la producción de fruta de palma aceitera, ubicados en su m</w:t>
      </w:r>
      <w:r>
        <w:rPr>
          <w:rFonts w:ascii="Arial" w:hAnsi="Arial" w:cs="Arial"/>
          <w:lang w:val="es-CR"/>
        </w:rPr>
        <w:t>ayoría en la Región Brunca, Pací</w:t>
      </w:r>
      <w:r w:rsidRPr="00540715">
        <w:rPr>
          <w:rFonts w:ascii="Arial" w:hAnsi="Arial" w:cs="Arial"/>
          <w:lang w:val="es-CR"/>
        </w:rPr>
        <w:t>fico Central y Huetar Atlántica.</w:t>
      </w:r>
    </w:p>
    <w:p w:rsidR="00516603" w:rsidRPr="003A01CB" w:rsidRDefault="00516603" w:rsidP="00516603">
      <w:pPr>
        <w:pStyle w:val="Prrafodelista"/>
        <w:numPr>
          <w:ilvl w:val="0"/>
          <w:numId w:val="18"/>
        </w:numPr>
        <w:spacing w:line="276" w:lineRule="auto"/>
        <w:ind w:left="360"/>
        <w:jc w:val="both"/>
        <w:rPr>
          <w:rFonts w:ascii="Arial" w:hAnsi="Arial" w:cs="Arial"/>
          <w:bCs/>
        </w:rPr>
      </w:pPr>
      <w:r w:rsidRPr="00540715">
        <w:rPr>
          <w:rFonts w:ascii="Arial" w:hAnsi="Arial" w:cs="Arial"/>
          <w:lang w:val="es-CR"/>
        </w:rPr>
        <w:t>La Cámara Nacional de Productores</w:t>
      </w:r>
      <w:r>
        <w:rPr>
          <w:rFonts w:ascii="Arial" w:hAnsi="Arial" w:cs="Arial"/>
          <w:bCs/>
        </w:rPr>
        <w:t xml:space="preserve"> de Palma (Canapalma), institución que representa y agremia a gran cantidad de productores manifestó su preocupación ante una posible regulación de precios y los problemas que podría ocasionar en los productores, ya que l</w:t>
      </w:r>
      <w:r w:rsidRPr="003A01CB">
        <w:rPr>
          <w:rFonts w:ascii="Arial" w:hAnsi="Arial" w:cs="Arial"/>
          <w:bCs/>
        </w:rPr>
        <w:t xml:space="preserve">a actividad de palma aceitera representa la actividad económica más importante de la región, alcanzando un movimiento económico de alrededor de un 60%. </w:t>
      </w:r>
    </w:p>
    <w:p w:rsidR="00516603" w:rsidRPr="00540715" w:rsidRDefault="00516603" w:rsidP="00516603">
      <w:pPr>
        <w:pStyle w:val="Prrafodelista"/>
        <w:numPr>
          <w:ilvl w:val="0"/>
          <w:numId w:val="18"/>
        </w:numPr>
        <w:spacing w:line="276" w:lineRule="auto"/>
        <w:ind w:left="360"/>
        <w:jc w:val="both"/>
        <w:rPr>
          <w:rFonts w:ascii="Arial" w:hAnsi="Arial" w:cs="Arial"/>
          <w:lang w:val="es-CR"/>
        </w:rPr>
      </w:pPr>
      <w:r w:rsidRPr="004C351B">
        <w:rPr>
          <w:rFonts w:ascii="Arial" w:hAnsi="Arial" w:cs="Arial"/>
          <w:b/>
          <w:bCs/>
          <w:lang w:val="es-CR"/>
        </w:rPr>
        <w:t>La actualización del modelo de costos de producción agrícola arroja un costo por valor de US$ 116,46 por tonelada métrica</w:t>
      </w:r>
      <w:r w:rsidRPr="00540715">
        <w:rPr>
          <w:rFonts w:ascii="Arial" w:hAnsi="Arial" w:cs="Arial"/>
          <w:lang w:val="es-CR"/>
        </w:rPr>
        <w:t>, que es similar a la mediana observada para el período de análisis (US$ 117 por TM) en el precio de compra al productor.</w:t>
      </w:r>
    </w:p>
    <w:p w:rsidR="00516603" w:rsidRPr="00576E00" w:rsidRDefault="00516603" w:rsidP="00516603">
      <w:pPr>
        <w:pStyle w:val="Prrafodelista"/>
        <w:numPr>
          <w:ilvl w:val="0"/>
          <w:numId w:val="18"/>
        </w:numPr>
        <w:spacing w:line="276" w:lineRule="auto"/>
        <w:ind w:left="360"/>
        <w:jc w:val="both"/>
        <w:rPr>
          <w:rFonts w:ascii="Arial" w:hAnsi="Arial" w:cs="Arial"/>
          <w:lang w:val="es-CR"/>
        </w:rPr>
      </w:pPr>
      <w:r w:rsidRPr="00540715">
        <w:rPr>
          <w:rFonts w:ascii="Arial" w:hAnsi="Arial" w:cs="Arial"/>
          <w:lang w:val="es-CR"/>
        </w:rPr>
        <w:t xml:space="preserve">Tomando como parámetro la actualización del modelo de costos, </w:t>
      </w:r>
      <w:r w:rsidRPr="004C351B">
        <w:rPr>
          <w:rFonts w:ascii="Arial" w:hAnsi="Arial" w:cs="Arial"/>
          <w:b/>
          <w:bCs/>
          <w:lang w:val="es-CR"/>
        </w:rPr>
        <w:t>se determina que en los períodos donde el precio internacional decreció, el porcentaje a pagar al productor fue inferior</w:t>
      </w:r>
      <w:r>
        <w:rPr>
          <w:rFonts w:ascii="Arial" w:hAnsi="Arial" w:cs="Arial"/>
          <w:b/>
          <w:bCs/>
          <w:lang w:val="es-CR"/>
        </w:rPr>
        <w:t>,</w:t>
      </w:r>
      <w:r>
        <w:rPr>
          <w:rFonts w:ascii="Arial" w:hAnsi="Arial" w:cs="Arial"/>
          <w:lang w:val="es-CR"/>
        </w:rPr>
        <w:t xml:space="preserve"> y por tanto, </w:t>
      </w:r>
      <w:r w:rsidRPr="00576E00">
        <w:rPr>
          <w:rFonts w:ascii="Arial" w:hAnsi="Arial" w:cs="Arial"/>
          <w:lang w:val="es-CR"/>
        </w:rPr>
        <w:t>no permitió recuperar el costo total de producción para el productor agrícola de fruta de palma.</w:t>
      </w:r>
    </w:p>
    <w:p w:rsidR="00516603" w:rsidRDefault="00516603" w:rsidP="00516603">
      <w:pPr>
        <w:spacing w:line="276" w:lineRule="auto"/>
        <w:jc w:val="both"/>
        <w:rPr>
          <w:rFonts w:ascii="Arial" w:hAnsi="Arial" w:cs="Arial"/>
          <w:b/>
          <w:lang w:val="es-CR"/>
        </w:rPr>
      </w:pPr>
    </w:p>
    <w:p w:rsidR="00516603" w:rsidRDefault="00516603" w:rsidP="00516603">
      <w:pPr>
        <w:jc w:val="both"/>
        <w:rPr>
          <w:rFonts w:ascii="Arial" w:hAnsi="Arial" w:cs="Arial"/>
          <w:b/>
          <w:u w:val="single"/>
        </w:rPr>
      </w:pPr>
      <w:r w:rsidRPr="00E74F4C">
        <w:rPr>
          <w:rFonts w:ascii="Arial" w:hAnsi="Arial" w:cs="Arial"/>
          <w:b/>
          <w:u w:val="single"/>
        </w:rPr>
        <w:t>En cuanto a l</w:t>
      </w:r>
      <w:r>
        <w:rPr>
          <w:rFonts w:ascii="Arial" w:hAnsi="Arial" w:cs="Arial"/>
          <w:b/>
          <w:u w:val="single"/>
        </w:rPr>
        <w:t>as condiciones de la industria s</w:t>
      </w:r>
      <w:r w:rsidRPr="00E74F4C">
        <w:rPr>
          <w:rFonts w:ascii="Arial" w:hAnsi="Arial" w:cs="Arial"/>
          <w:b/>
          <w:u w:val="single"/>
        </w:rPr>
        <w:t>e evidencia que:</w:t>
      </w:r>
    </w:p>
    <w:p w:rsidR="00516603" w:rsidRPr="00E74F4C" w:rsidRDefault="00516603" w:rsidP="00516603">
      <w:pPr>
        <w:spacing w:line="276" w:lineRule="auto"/>
        <w:ind w:left="360"/>
        <w:jc w:val="both"/>
        <w:rPr>
          <w:rFonts w:ascii="Arial" w:hAnsi="Arial" w:cs="Arial"/>
          <w:b/>
          <w:u w:val="single"/>
        </w:rPr>
      </w:pPr>
    </w:p>
    <w:p w:rsidR="00516603" w:rsidRPr="00EC5D2F" w:rsidRDefault="00516603" w:rsidP="00516603">
      <w:pPr>
        <w:pStyle w:val="Sinespaciado"/>
        <w:numPr>
          <w:ilvl w:val="0"/>
          <w:numId w:val="18"/>
        </w:numPr>
        <w:spacing w:line="276" w:lineRule="auto"/>
        <w:ind w:left="360"/>
        <w:jc w:val="both"/>
        <w:rPr>
          <w:rFonts w:ascii="Arial" w:hAnsi="Arial" w:cs="Arial"/>
          <w:lang w:val="es-CR"/>
        </w:rPr>
      </w:pPr>
      <w:r w:rsidRPr="00EC5D2F">
        <w:rPr>
          <w:rFonts w:ascii="Arial" w:hAnsi="Arial" w:cs="Arial"/>
          <w:bCs/>
        </w:rPr>
        <w:lastRenderedPageBreak/>
        <w:t xml:space="preserve">El estudio pone de manifiesto que si bien es cierto en el mercado existen condiciones </w:t>
      </w:r>
      <w:r w:rsidRPr="00EC5D2F">
        <w:rPr>
          <w:rFonts w:ascii="Arial" w:hAnsi="Arial" w:cs="Arial"/>
          <w:bCs/>
          <w:u w:val="single"/>
        </w:rPr>
        <w:t>oligopsónicas</w:t>
      </w:r>
      <w:r w:rsidRPr="00EC5D2F">
        <w:rPr>
          <w:rFonts w:ascii="Arial" w:hAnsi="Arial" w:cs="Arial"/>
          <w:bCs/>
        </w:rPr>
        <w:t xml:space="preserve">, debido a que la demanda de la fruta está concentrada en dos empresas, Coopeagropal R.L y Palma Tica S.A., cada industria cuenta con su propio </w:t>
      </w:r>
      <w:r>
        <w:rPr>
          <w:rFonts w:ascii="Arial" w:hAnsi="Arial" w:cs="Arial"/>
          <w:bCs/>
        </w:rPr>
        <w:t xml:space="preserve">mecanismo de pago, ambos </w:t>
      </w:r>
      <w:r w:rsidRPr="00EC5D2F">
        <w:rPr>
          <w:rFonts w:ascii="Arial" w:hAnsi="Arial" w:cs="Arial"/>
          <w:bCs/>
        </w:rPr>
        <w:t>refer</w:t>
      </w:r>
      <w:r>
        <w:rPr>
          <w:rFonts w:ascii="Arial" w:hAnsi="Arial" w:cs="Arial"/>
          <w:bCs/>
        </w:rPr>
        <w:t>enciados</w:t>
      </w:r>
      <w:r w:rsidRPr="00EC5D2F">
        <w:rPr>
          <w:rFonts w:ascii="Arial" w:hAnsi="Arial" w:cs="Arial"/>
          <w:bCs/>
        </w:rPr>
        <w:t xml:space="preserve"> al comportamiento del mercado internacional del aceite crudo, y </w:t>
      </w:r>
      <w:r>
        <w:rPr>
          <w:rFonts w:ascii="Arial" w:hAnsi="Arial" w:cs="Arial"/>
          <w:bCs/>
        </w:rPr>
        <w:t xml:space="preserve">por tanto </w:t>
      </w:r>
      <w:r w:rsidRPr="00EC5D2F">
        <w:rPr>
          <w:rFonts w:ascii="Arial" w:hAnsi="Arial" w:cs="Arial"/>
          <w:bCs/>
        </w:rPr>
        <w:t>el mercado local no tiene forma de incidir</w:t>
      </w:r>
      <w:r>
        <w:rPr>
          <w:rFonts w:ascii="Arial" w:hAnsi="Arial" w:cs="Arial"/>
          <w:bCs/>
        </w:rPr>
        <w:t xml:space="preserve"> en el mismo</w:t>
      </w:r>
      <w:r w:rsidRPr="00EC5D2F">
        <w:rPr>
          <w:rFonts w:ascii="Arial" w:hAnsi="Arial" w:cs="Arial"/>
          <w:bCs/>
        </w:rPr>
        <w:t>.</w:t>
      </w:r>
    </w:p>
    <w:p w:rsidR="00516603" w:rsidRDefault="00516603" w:rsidP="00516603">
      <w:pPr>
        <w:pStyle w:val="Prrafodelista"/>
        <w:numPr>
          <w:ilvl w:val="0"/>
          <w:numId w:val="20"/>
        </w:numPr>
        <w:spacing w:line="276" w:lineRule="auto"/>
        <w:jc w:val="both"/>
        <w:rPr>
          <w:rFonts w:ascii="Arial" w:hAnsi="Arial" w:cs="Arial"/>
          <w:bCs/>
        </w:rPr>
      </w:pPr>
      <w:r w:rsidRPr="00AE0F7B">
        <w:rPr>
          <w:rFonts w:ascii="Arial" w:hAnsi="Arial" w:cs="Arial"/>
          <w:bCs/>
        </w:rPr>
        <w:t>El margen operativo</w:t>
      </w:r>
      <w:r>
        <w:rPr>
          <w:rFonts w:ascii="Arial" w:hAnsi="Arial" w:cs="Arial"/>
          <w:bCs/>
        </w:rPr>
        <w:t xml:space="preserve"> </w:t>
      </w:r>
      <w:r w:rsidRPr="00AE0F7B">
        <w:rPr>
          <w:rFonts w:ascii="Arial" w:hAnsi="Arial" w:cs="Arial"/>
          <w:bCs/>
        </w:rPr>
        <w:t>de la industria corresponde a un 84.8%</w:t>
      </w:r>
      <w:r>
        <w:rPr>
          <w:rFonts w:ascii="Arial" w:hAnsi="Arial" w:cs="Arial"/>
          <w:bCs/>
        </w:rPr>
        <w:t>;</w:t>
      </w:r>
      <w:r w:rsidRPr="00AE0F7B">
        <w:rPr>
          <w:rFonts w:ascii="Arial" w:hAnsi="Arial" w:cs="Arial"/>
          <w:bCs/>
        </w:rPr>
        <w:t xml:space="preserve"> sin embargo, en los últimos años </w:t>
      </w:r>
      <w:r>
        <w:rPr>
          <w:rFonts w:ascii="Arial" w:hAnsi="Arial" w:cs="Arial"/>
          <w:bCs/>
        </w:rPr>
        <w:t>ha sido menor debido a la variación en los precios internacionales.</w:t>
      </w:r>
    </w:p>
    <w:p w:rsidR="00516603" w:rsidRDefault="00516603" w:rsidP="00516603">
      <w:pPr>
        <w:pStyle w:val="Prrafodelista"/>
        <w:numPr>
          <w:ilvl w:val="0"/>
          <w:numId w:val="20"/>
        </w:numPr>
        <w:spacing w:line="276" w:lineRule="auto"/>
        <w:jc w:val="both"/>
        <w:rPr>
          <w:rFonts w:ascii="Arial" w:hAnsi="Arial" w:cs="Arial"/>
          <w:lang w:val="es-CR"/>
        </w:rPr>
      </w:pPr>
      <w:r w:rsidRPr="00AC58CE">
        <w:rPr>
          <w:rFonts w:ascii="Arial" w:hAnsi="Arial" w:cs="Arial"/>
          <w:lang w:val="es-CR"/>
        </w:rPr>
        <w:t xml:space="preserve">El análisis presentado </w:t>
      </w:r>
      <w:r>
        <w:rPr>
          <w:rFonts w:ascii="Arial" w:hAnsi="Arial" w:cs="Arial"/>
          <w:lang w:val="es-CR"/>
        </w:rPr>
        <w:t>muestra</w:t>
      </w:r>
      <w:r w:rsidRPr="00AC58CE">
        <w:rPr>
          <w:rFonts w:ascii="Arial" w:hAnsi="Arial" w:cs="Arial"/>
          <w:lang w:val="es-CR"/>
        </w:rPr>
        <w:t xml:space="preserve"> que las dos industrias locales en todo momento</w:t>
      </w:r>
      <w:r>
        <w:rPr>
          <w:rFonts w:ascii="Arial" w:hAnsi="Arial" w:cs="Arial"/>
          <w:lang w:val="es-CR"/>
        </w:rPr>
        <w:t>,</w:t>
      </w:r>
      <w:r w:rsidRPr="00AC58CE">
        <w:rPr>
          <w:rFonts w:ascii="Arial" w:hAnsi="Arial" w:cs="Arial"/>
          <w:lang w:val="es-CR"/>
        </w:rPr>
        <w:t xml:space="preserve"> independientemente de </w:t>
      </w:r>
      <w:r>
        <w:rPr>
          <w:rFonts w:ascii="Arial" w:hAnsi="Arial" w:cs="Arial"/>
          <w:lang w:val="es-CR"/>
        </w:rPr>
        <w:t xml:space="preserve">la existencia de </w:t>
      </w:r>
      <w:r w:rsidRPr="00AC58CE">
        <w:rPr>
          <w:rFonts w:ascii="Arial" w:hAnsi="Arial" w:cs="Arial"/>
          <w:lang w:val="es-CR"/>
        </w:rPr>
        <w:t>precios altos o bajos</w:t>
      </w:r>
      <w:r>
        <w:rPr>
          <w:rFonts w:ascii="Arial" w:hAnsi="Arial" w:cs="Arial"/>
          <w:lang w:val="es-CR"/>
        </w:rPr>
        <w:t>,</w:t>
      </w:r>
      <w:r w:rsidRPr="00AC58CE">
        <w:rPr>
          <w:rFonts w:ascii="Arial" w:hAnsi="Arial" w:cs="Arial"/>
          <w:lang w:val="es-CR"/>
        </w:rPr>
        <w:t xml:space="preserve"> siempre han comprado </w:t>
      </w:r>
      <w:r>
        <w:rPr>
          <w:rFonts w:ascii="Arial" w:hAnsi="Arial" w:cs="Arial"/>
          <w:lang w:val="es-CR"/>
        </w:rPr>
        <w:t xml:space="preserve">la </w:t>
      </w:r>
      <w:r w:rsidRPr="00AC58CE">
        <w:rPr>
          <w:rFonts w:ascii="Arial" w:hAnsi="Arial" w:cs="Arial"/>
          <w:lang w:val="es-CR"/>
        </w:rPr>
        <w:t xml:space="preserve">producción de fruta de palma a los </w:t>
      </w:r>
      <w:r>
        <w:rPr>
          <w:rFonts w:ascii="Arial" w:hAnsi="Arial" w:cs="Arial"/>
          <w:lang w:val="es-CR"/>
        </w:rPr>
        <w:t>productores.</w:t>
      </w:r>
      <w:r w:rsidRPr="00AC58CE">
        <w:rPr>
          <w:rFonts w:ascii="Arial" w:hAnsi="Arial" w:cs="Arial"/>
          <w:lang w:val="es-CR"/>
        </w:rPr>
        <w:t xml:space="preserve"> </w:t>
      </w:r>
    </w:p>
    <w:p w:rsidR="00516603" w:rsidRPr="009147CB" w:rsidRDefault="00516603" w:rsidP="00516603">
      <w:pPr>
        <w:pStyle w:val="Prrafodelista"/>
        <w:numPr>
          <w:ilvl w:val="0"/>
          <w:numId w:val="20"/>
        </w:numPr>
        <w:spacing w:line="276" w:lineRule="auto"/>
        <w:jc w:val="both"/>
        <w:rPr>
          <w:rFonts w:ascii="Arial" w:hAnsi="Arial" w:cs="Arial"/>
          <w:bCs/>
        </w:rPr>
      </w:pPr>
      <w:r w:rsidRPr="009147CB">
        <w:rPr>
          <w:rFonts w:ascii="Arial" w:hAnsi="Arial" w:cs="Arial"/>
          <w:bCs/>
        </w:rPr>
        <w:t xml:space="preserve">La disminución en el precio internacional no solo </w:t>
      </w:r>
      <w:r>
        <w:rPr>
          <w:rFonts w:ascii="Arial" w:hAnsi="Arial" w:cs="Arial"/>
          <w:bCs/>
        </w:rPr>
        <w:t>afecta</w:t>
      </w:r>
      <w:r w:rsidRPr="009147CB">
        <w:rPr>
          <w:rFonts w:ascii="Arial" w:hAnsi="Arial" w:cs="Arial"/>
          <w:bCs/>
        </w:rPr>
        <w:t xml:space="preserve"> el precio que se paga al productor, </w:t>
      </w:r>
      <w:r>
        <w:rPr>
          <w:rFonts w:ascii="Arial" w:hAnsi="Arial" w:cs="Arial"/>
          <w:bCs/>
        </w:rPr>
        <w:t xml:space="preserve">sino </w:t>
      </w:r>
      <w:r w:rsidRPr="009147CB">
        <w:rPr>
          <w:rFonts w:ascii="Arial" w:hAnsi="Arial" w:cs="Arial"/>
          <w:bCs/>
        </w:rPr>
        <w:t>también repercute en las industrias</w:t>
      </w:r>
      <w:r>
        <w:rPr>
          <w:rFonts w:ascii="Arial" w:hAnsi="Arial" w:cs="Arial"/>
          <w:bCs/>
        </w:rPr>
        <w:t>,</w:t>
      </w:r>
      <w:r w:rsidRPr="009147CB">
        <w:rPr>
          <w:rFonts w:ascii="Arial" w:hAnsi="Arial" w:cs="Arial"/>
          <w:bCs/>
        </w:rPr>
        <w:t xml:space="preserve"> </w:t>
      </w:r>
      <w:r>
        <w:rPr>
          <w:rFonts w:ascii="Arial" w:hAnsi="Arial" w:cs="Arial"/>
          <w:bCs/>
        </w:rPr>
        <w:t>afectando</w:t>
      </w:r>
      <w:r w:rsidRPr="009147CB">
        <w:rPr>
          <w:rFonts w:ascii="Arial" w:hAnsi="Arial" w:cs="Arial"/>
          <w:bCs/>
        </w:rPr>
        <w:t xml:space="preserve"> sus utilidades</w:t>
      </w:r>
      <w:r>
        <w:rPr>
          <w:rFonts w:ascii="Arial" w:hAnsi="Arial" w:cs="Arial"/>
          <w:bCs/>
        </w:rPr>
        <w:t>,</w:t>
      </w:r>
      <w:r w:rsidRPr="009147CB">
        <w:rPr>
          <w:rFonts w:ascii="Arial" w:hAnsi="Arial" w:cs="Arial"/>
          <w:bCs/>
        </w:rPr>
        <w:t xml:space="preserve"> </w:t>
      </w:r>
      <w:r>
        <w:rPr>
          <w:rFonts w:ascii="Arial" w:hAnsi="Arial" w:cs="Arial"/>
          <w:bCs/>
        </w:rPr>
        <w:t>ya que estas</w:t>
      </w:r>
      <w:r w:rsidRPr="009147CB">
        <w:rPr>
          <w:rFonts w:ascii="Arial" w:hAnsi="Arial" w:cs="Arial"/>
          <w:bCs/>
        </w:rPr>
        <w:t xml:space="preserve"> tienen costos operativos y costos fijos </w:t>
      </w:r>
      <w:r>
        <w:rPr>
          <w:rFonts w:ascii="Arial" w:hAnsi="Arial" w:cs="Arial"/>
          <w:bCs/>
        </w:rPr>
        <w:t>en el procesamiento y exportación del aceite crudo para su venta.</w:t>
      </w:r>
    </w:p>
    <w:p w:rsidR="00516603" w:rsidRPr="00AC58CE" w:rsidRDefault="00516603" w:rsidP="00516603">
      <w:pPr>
        <w:pStyle w:val="Prrafodelista"/>
        <w:numPr>
          <w:ilvl w:val="0"/>
          <w:numId w:val="18"/>
        </w:numPr>
        <w:spacing w:line="276" w:lineRule="auto"/>
        <w:ind w:left="360"/>
        <w:jc w:val="both"/>
        <w:rPr>
          <w:rFonts w:ascii="Arial" w:hAnsi="Arial" w:cs="Arial"/>
          <w:lang w:val="es-CR"/>
        </w:rPr>
      </w:pPr>
      <w:r w:rsidRPr="00AC58CE">
        <w:rPr>
          <w:rFonts w:ascii="Arial" w:hAnsi="Arial" w:cs="Arial"/>
        </w:rPr>
        <w:t>Las industrias no solamente realizan actividades de producción de fruta (c</w:t>
      </w:r>
      <w:r>
        <w:rPr>
          <w:rFonts w:ascii="Arial" w:hAnsi="Arial" w:cs="Arial"/>
        </w:rPr>
        <w:t>ompra-</w:t>
      </w:r>
      <w:r w:rsidRPr="00AC58CE">
        <w:rPr>
          <w:rFonts w:ascii="Arial" w:hAnsi="Arial" w:cs="Arial"/>
        </w:rPr>
        <w:t>venta)</w:t>
      </w:r>
      <w:r>
        <w:rPr>
          <w:rFonts w:ascii="Arial" w:hAnsi="Arial" w:cs="Arial"/>
        </w:rPr>
        <w:t>,</w:t>
      </w:r>
      <w:r w:rsidRPr="00AC58CE">
        <w:rPr>
          <w:rFonts w:ascii="Arial" w:hAnsi="Arial" w:cs="Arial"/>
        </w:rPr>
        <w:t xml:space="preserve"> también realiza</w:t>
      </w:r>
      <w:r>
        <w:rPr>
          <w:rFonts w:ascii="Arial" w:hAnsi="Arial" w:cs="Arial"/>
        </w:rPr>
        <w:t>n</w:t>
      </w:r>
      <w:r w:rsidRPr="00AC58CE">
        <w:rPr>
          <w:rFonts w:ascii="Arial" w:hAnsi="Arial" w:cs="Arial"/>
        </w:rPr>
        <w:t xml:space="preserve"> un proceso de extracción y comercialización del aceite crudo y un pequeño porcentaje en producto con valor agregado, lo cual </w:t>
      </w:r>
      <w:r>
        <w:rPr>
          <w:rFonts w:ascii="Arial" w:hAnsi="Arial" w:cs="Arial"/>
        </w:rPr>
        <w:t xml:space="preserve">son parte de los costos de esta industria. </w:t>
      </w:r>
    </w:p>
    <w:p w:rsidR="00516603" w:rsidRPr="005F7828" w:rsidRDefault="00516603" w:rsidP="00516603">
      <w:pPr>
        <w:pStyle w:val="Sinespaciado"/>
        <w:numPr>
          <w:ilvl w:val="0"/>
          <w:numId w:val="18"/>
        </w:numPr>
        <w:spacing w:line="276" w:lineRule="auto"/>
        <w:ind w:left="360"/>
        <w:jc w:val="both"/>
        <w:rPr>
          <w:rFonts w:ascii="Arial" w:hAnsi="Arial" w:cs="Arial"/>
        </w:rPr>
      </w:pPr>
      <w:r w:rsidRPr="00AC58CE">
        <w:rPr>
          <w:rFonts w:ascii="Arial" w:hAnsi="Arial" w:cs="Arial"/>
          <w:lang w:val="es-CR"/>
        </w:rPr>
        <w:t>Ambas industrias señalan que el costo de industrialización del aceite crudo de palma por tonelada métrica es un dato que se debe tomar en cuenta para evitar una eventual regulación.</w:t>
      </w:r>
    </w:p>
    <w:p w:rsidR="00516603" w:rsidRPr="00CF7CA7" w:rsidRDefault="00516603" w:rsidP="00516603">
      <w:pPr>
        <w:pStyle w:val="Prrafodelista"/>
        <w:numPr>
          <w:ilvl w:val="0"/>
          <w:numId w:val="18"/>
        </w:numPr>
        <w:spacing w:line="276" w:lineRule="auto"/>
        <w:ind w:left="360"/>
        <w:jc w:val="both"/>
        <w:rPr>
          <w:rFonts w:ascii="Arial" w:hAnsi="Arial" w:cs="Arial"/>
        </w:rPr>
      </w:pPr>
      <w:r w:rsidRPr="005F7828">
        <w:rPr>
          <w:rFonts w:ascii="Arial" w:hAnsi="Arial" w:cs="Arial"/>
        </w:rPr>
        <w:t>Para producir una tonelada de aceite crudo, una industria requiere una compra de 4,5 TM como mínimo, lo cual representa un costo de</w:t>
      </w:r>
      <w:r>
        <w:rPr>
          <w:rFonts w:ascii="Arial" w:hAnsi="Arial" w:cs="Arial"/>
        </w:rPr>
        <w:t>l</w:t>
      </w:r>
      <w:r w:rsidRPr="005F7828">
        <w:rPr>
          <w:rFonts w:ascii="Arial" w:hAnsi="Arial" w:cs="Arial"/>
        </w:rPr>
        <w:t xml:space="preserve"> 68,5%</w:t>
      </w:r>
      <w:r>
        <w:rPr>
          <w:rFonts w:ascii="Arial" w:hAnsi="Arial" w:cs="Arial"/>
        </w:rPr>
        <w:t>,</w:t>
      </w:r>
      <w:r w:rsidRPr="005F7828">
        <w:rPr>
          <w:rFonts w:ascii="Arial" w:hAnsi="Arial" w:cs="Arial"/>
        </w:rPr>
        <w:t xml:space="preserve"> solo </w:t>
      </w:r>
      <w:r>
        <w:rPr>
          <w:rFonts w:ascii="Arial" w:hAnsi="Arial" w:cs="Arial"/>
        </w:rPr>
        <w:t>por</w:t>
      </w:r>
      <w:r w:rsidRPr="005F7828">
        <w:rPr>
          <w:rFonts w:ascii="Arial" w:hAnsi="Arial" w:cs="Arial"/>
        </w:rPr>
        <w:t xml:space="preserve"> la materia prima</w:t>
      </w:r>
      <w:r>
        <w:rPr>
          <w:rFonts w:ascii="Arial" w:hAnsi="Arial" w:cs="Arial"/>
        </w:rPr>
        <w:t xml:space="preserve">, bajo el mecanismo </w:t>
      </w:r>
      <w:r w:rsidRPr="005F7828">
        <w:rPr>
          <w:rFonts w:ascii="Arial" w:hAnsi="Arial" w:cs="Arial"/>
        </w:rPr>
        <w:t xml:space="preserve">de compra actual de un 15% del precio internacional del aceite para el mes de entrega. </w:t>
      </w:r>
    </w:p>
    <w:p w:rsidR="00516603" w:rsidRDefault="00516603" w:rsidP="00516603">
      <w:pPr>
        <w:pStyle w:val="Sinespaciado"/>
        <w:numPr>
          <w:ilvl w:val="0"/>
          <w:numId w:val="18"/>
        </w:numPr>
        <w:spacing w:line="276" w:lineRule="auto"/>
        <w:ind w:left="360"/>
        <w:jc w:val="both"/>
        <w:rPr>
          <w:rFonts w:ascii="Arial" w:hAnsi="Arial" w:cs="Arial"/>
        </w:rPr>
      </w:pPr>
      <w:r>
        <w:rPr>
          <w:rFonts w:ascii="Arial" w:hAnsi="Arial" w:cs="Arial"/>
        </w:rPr>
        <w:t xml:space="preserve">El costo de industrialización y exportación del aceite por la industria, </w:t>
      </w:r>
      <w:r>
        <w:rPr>
          <w:rFonts w:ascii="Arial" w:hAnsi="Arial" w:cs="Arial"/>
          <w:b/>
          <w:bCs/>
        </w:rPr>
        <w:t>asciende a $193,00</w:t>
      </w:r>
      <w:r>
        <w:rPr>
          <w:rFonts w:ascii="Arial" w:hAnsi="Arial" w:cs="Arial"/>
        </w:rPr>
        <w:t xml:space="preserve"> por tonelada de aceite (sin considerar un margen de utilidad ni de inversiones de capital), conformado por:</w:t>
      </w:r>
    </w:p>
    <w:p w:rsidR="00516603" w:rsidRDefault="00516603" w:rsidP="00516603">
      <w:pPr>
        <w:pStyle w:val="Sinespaciado"/>
        <w:numPr>
          <w:ilvl w:val="1"/>
          <w:numId w:val="23"/>
        </w:numPr>
        <w:spacing w:line="276" w:lineRule="auto"/>
        <w:jc w:val="both"/>
        <w:rPr>
          <w:rFonts w:ascii="Arial" w:hAnsi="Arial" w:cs="Arial"/>
        </w:rPr>
      </w:pPr>
      <w:r>
        <w:rPr>
          <w:rFonts w:ascii="Arial" w:hAnsi="Arial" w:cs="Arial"/>
        </w:rPr>
        <w:t>El costo de acopio y transporte de la fruta desde los centros de acopio a la planta extractora, transporte que realiza la industria para un porcentaje de la fruta que compran lo cual redunda en un ahorro para productor.</w:t>
      </w:r>
    </w:p>
    <w:p w:rsidR="00516603" w:rsidRDefault="00516603" w:rsidP="00516603">
      <w:pPr>
        <w:pStyle w:val="Sinespaciado"/>
        <w:numPr>
          <w:ilvl w:val="1"/>
          <w:numId w:val="23"/>
        </w:numPr>
        <w:spacing w:line="276" w:lineRule="auto"/>
        <w:jc w:val="both"/>
        <w:rPr>
          <w:rFonts w:ascii="Arial" w:hAnsi="Arial" w:cs="Arial"/>
        </w:rPr>
      </w:pPr>
      <w:r>
        <w:rPr>
          <w:rFonts w:ascii="Arial" w:hAnsi="Arial" w:cs="Arial"/>
        </w:rPr>
        <w:t xml:space="preserve">El costo de procesamiento de la fruta, </w:t>
      </w:r>
    </w:p>
    <w:p w:rsidR="00516603" w:rsidRDefault="00516603" w:rsidP="00516603">
      <w:pPr>
        <w:pStyle w:val="Sinespaciado"/>
        <w:numPr>
          <w:ilvl w:val="1"/>
          <w:numId w:val="23"/>
        </w:numPr>
        <w:spacing w:line="276" w:lineRule="auto"/>
        <w:jc w:val="both"/>
        <w:rPr>
          <w:rFonts w:ascii="Arial" w:hAnsi="Arial" w:cs="Arial"/>
        </w:rPr>
      </w:pPr>
      <w:r>
        <w:rPr>
          <w:rFonts w:ascii="Arial" w:hAnsi="Arial" w:cs="Arial"/>
        </w:rPr>
        <w:t>El costo de exportación del aceite, el cual incluye los fletes terrestres, más almacenamiento, carga en puerto y flete marítimo.</w:t>
      </w:r>
    </w:p>
    <w:p w:rsidR="00516603" w:rsidRDefault="00516603" w:rsidP="00516603">
      <w:pPr>
        <w:pStyle w:val="Sinespaciado"/>
        <w:numPr>
          <w:ilvl w:val="1"/>
          <w:numId w:val="23"/>
        </w:numPr>
        <w:spacing w:line="276" w:lineRule="auto"/>
        <w:jc w:val="both"/>
        <w:rPr>
          <w:rFonts w:ascii="Arial" w:hAnsi="Arial" w:cs="Arial"/>
        </w:rPr>
      </w:pPr>
      <w:r>
        <w:rPr>
          <w:rFonts w:ascii="Arial" w:hAnsi="Arial" w:cs="Arial"/>
        </w:rPr>
        <w:lastRenderedPageBreak/>
        <w:t>El costo por el flete al comprador del aceite crudo para poder llevarlo a sus compradores finales.</w:t>
      </w:r>
    </w:p>
    <w:p w:rsidR="00516603" w:rsidRDefault="00516603" w:rsidP="00516603">
      <w:pPr>
        <w:pStyle w:val="Sinespaciado"/>
        <w:numPr>
          <w:ilvl w:val="0"/>
          <w:numId w:val="18"/>
        </w:numPr>
        <w:spacing w:line="276" w:lineRule="auto"/>
        <w:ind w:left="360"/>
        <w:jc w:val="both"/>
        <w:rPr>
          <w:rFonts w:ascii="Arial" w:hAnsi="Arial" w:cs="Arial"/>
        </w:rPr>
      </w:pPr>
      <w:r>
        <w:rPr>
          <w:rFonts w:ascii="Arial" w:hAnsi="Arial" w:cs="Arial"/>
        </w:rPr>
        <w:t>Si determinamos el costo por TM de aceite de acuerdo con los costos antes indicados obtenemos:</w:t>
      </w:r>
    </w:p>
    <w:p w:rsidR="00516603" w:rsidRDefault="00516603" w:rsidP="00516603">
      <w:pPr>
        <w:pStyle w:val="Sinespaciado"/>
        <w:spacing w:line="276" w:lineRule="auto"/>
        <w:ind w:left="720"/>
        <w:jc w:val="both"/>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4255"/>
        <w:gridCol w:w="4229"/>
      </w:tblGrid>
      <w:tr w:rsidR="00516603" w:rsidRPr="00CF7CA7" w:rsidTr="009F5196">
        <w:trPr>
          <w:jc w:val="center"/>
        </w:trPr>
        <w:tc>
          <w:tcPr>
            <w:tcW w:w="882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16603" w:rsidRPr="00863140" w:rsidRDefault="00516603" w:rsidP="009F5196">
            <w:pPr>
              <w:jc w:val="center"/>
              <w:rPr>
                <w:rFonts w:ascii="Arial" w:hAnsi="Arial" w:cs="Arial"/>
                <w:b/>
                <w:i/>
                <w:iCs/>
                <w:lang w:val="es-CR"/>
              </w:rPr>
            </w:pPr>
            <w:r w:rsidRPr="00863140">
              <w:rPr>
                <w:rFonts w:ascii="Arial" w:hAnsi="Arial" w:cs="Arial"/>
                <w:b/>
                <w:i/>
                <w:iCs/>
              </w:rPr>
              <w:t>Validación precio total por TM de aceite</w:t>
            </w:r>
          </w:p>
        </w:tc>
      </w:tr>
      <w:tr w:rsidR="00516603" w:rsidRPr="00CF7CA7" w:rsidTr="009F5196">
        <w:trPr>
          <w:jc w:val="center"/>
        </w:trPr>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rPr>
                <w:rFonts w:ascii="Arial" w:hAnsi="Arial" w:cs="Arial"/>
              </w:rPr>
            </w:pPr>
            <w:r w:rsidRPr="00CF7CA7">
              <w:rPr>
                <w:rFonts w:ascii="Arial" w:hAnsi="Arial" w:cs="Arial"/>
              </w:rPr>
              <w:t xml:space="preserve">Precio de compra de fruta (valor determinado en estudio) </w:t>
            </w:r>
          </w:p>
        </w:tc>
        <w:tc>
          <w:tcPr>
            <w:tcW w:w="4414" w:type="dxa"/>
            <w:tcBorders>
              <w:top w:val="nil"/>
              <w:left w:val="nil"/>
              <w:bottom w:val="single" w:sz="8" w:space="0" w:color="auto"/>
              <w:right w:val="single" w:sz="8" w:space="0" w:color="auto"/>
            </w:tcBorders>
            <w:tcMar>
              <w:top w:w="0" w:type="dxa"/>
              <w:left w:w="108" w:type="dxa"/>
              <w:bottom w:w="0" w:type="dxa"/>
              <w:right w:w="108" w:type="dxa"/>
            </w:tcMar>
          </w:tcPr>
          <w:p w:rsidR="00516603" w:rsidRPr="00CF7CA7" w:rsidRDefault="00516603" w:rsidP="009F5196">
            <w:pPr>
              <w:rPr>
                <w:rFonts w:ascii="Arial" w:hAnsi="Arial" w:cs="Arial"/>
                <w:b/>
                <w:bCs/>
              </w:rPr>
            </w:pPr>
          </w:p>
          <w:p w:rsidR="00516603" w:rsidRPr="00CF7CA7" w:rsidRDefault="00516603" w:rsidP="009F5196">
            <w:pPr>
              <w:jc w:val="right"/>
              <w:rPr>
                <w:rFonts w:ascii="Arial" w:hAnsi="Arial" w:cs="Arial"/>
                <w:b/>
                <w:bCs/>
              </w:rPr>
            </w:pPr>
            <w:r w:rsidRPr="00CF7CA7">
              <w:rPr>
                <w:rFonts w:ascii="Arial" w:hAnsi="Arial" w:cs="Arial"/>
                <w:b/>
                <w:bCs/>
              </w:rPr>
              <w:t>$116,46</w:t>
            </w:r>
          </w:p>
        </w:tc>
      </w:tr>
      <w:tr w:rsidR="00516603" w:rsidRPr="00CF7CA7" w:rsidTr="009F5196">
        <w:trPr>
          <w:jc w:val="center"/>
        </w:trPr>
        <w:tc>
          <w:tcPr>
            <w:tcW w:w="88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16603" w:rsidRPr="00CF7CA7" w:rsidRDefault="00516603" w:rsidP="009F5196">
            <w:pPr>
              <w:rPr>
                <w:rFonts w:ascii="Arial" w:hAnsi="Arial" w:cs="Arial"/>
              </w:rPr>
            </w:pPr>
          </w:p>
        </w:tc>
      </w:tr>
      <w:tr w:rsidR="00516603" w:rsidRPr="00CF7CA7" w:rsidTr="009F5196">
        <w:trPr>
          <w:jc w:val="center"/>
        </w:trPr>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rPr>
                <w:rFonts w:ascii="Arial" w:hAnsi="Arial" w:cs="Arial"/>
              </w:rPr>
            </w:pPr>
            <w:r w:rsidRPr="00CF7CA7">
              <w:rPr>
                <w:rFonts w:ascii="Arial" w:hAnsi="Arial" w:cs="Arial"/>
              </w:rPr>
              <w:t>Costo de extracción de fruta (4,5TM para obtener 1 TM) por TM de aceite</w:t>
            </w:r>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jc w:val="right"/>
              <w:rPr>
                <w:rFonts w:ascii="Arial" w:hAnsi="Arial" w:cs="Arial"/>
              </w:rPr>
            </w:pPr>
            <w:r w:rsidRPr="00CF7CA7">
              <w:rPr>
                <w:rFonts w:ascii="Arial" w:hAnsi="Arial" w:cs="Arial"/>
              </w:rPr>
              <w:t>$527,27</w:t>
            </w:r>
          </w:p>
        </w:tc>
      </w:tr>
      <w:tr w:rsidR="00516603" w:rsidRPr="00CF7CA7" w:rsidTr="009F5196">
        <w:trPr>
          <w:jc w:val="center"/>
        </w:trPr>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rPr>
                <w:rFonts w:ascii="Arial" w:hAnsi="Arial" w:cs="Arial"/>
              </w:rPr>
            </w:pPr>
            <w:r w:rsidRPr="00CF7CA7">
              <w:rPr>
                <w:rFonts w:ascii="Arial" w:hAnsi="Arial" w:cs="Arial"/>
              </w:rPr>
              <w:t>Costo operativo (promedio industria)</w:t>
            </w:r>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jc w:val="right"/>
              <w:rPr>
                <w:rFonts w:ascii="Arial" w:hAnsi="Arial" w:cs="Arial"/>
              </w:rPr>
            </w:pPr>
            <w:r w:rsidRPr="00CF7CA7">
              <w:rPr>
                <w:rFonts w:ascii="Arial" w:hAnsi="Arial" w:cs="Arial"/>
              </w:rPr>
              <w:t>$193,00</w:t>
            </w:r>
          </w:p>
        </w:tc>
      </w:tr>
      <w:tr w:rsidR="00516603" w:rsidRPr="00CF7CA7" w:rsidTr="009F5196">
        <w:trPr>
          <w:jc w:val="center"/>
        </w:trPr>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16603" w:rsidRPr="00CF7CA7" w:rsidRDefault="00516603" w:rsidP="009F5196">
            <w:pPr>
              <w:rPr>
                <w:rFonts w:ascii="Arial" w:hAnsi="Arial" w:cs="Arial"/>
              </w:rPr>
            </w:pPr>
          </w:p>
        </w:tc>
        <w:tc>
          <w:tcPr>
            <w:tcW w:w="4414" w:type="dxa"/>
            <w:tcBorders>
              <w:top w:val="nil"/>
              <w:left w:val="nil"/>
              <w:bottom w:val="single" w:sz="8" w:space="0" w:color="auto"/>
              <w:right w:val="single" w:sz="8" w:space="0" w:color="auto"/>
            </w:tcBorders>
            <w:tcMar>
              <w:top w:w="0" w:type="dxa"/>
              <w:left w:w="108" w:type="dxa"/>
              <w:bottom w:w="0" w:type="dxa"/>
              <w:right w:w="108" w:type="dxa"/>
            </w:tcMar>
          </w:tcPr>
          <w:p w:rsidR="00516603" w:rsidRPr="00CF7CA7" w:rsidRDefault="00516603" w:rsidP="009F5196">
            <w:pPr>
              <w:rPr>
                <w:rFonts w:ascii="Arial" w:hAnsi="Arial" w:cs="Arial"/>
              </w:rPr>
            </w:pPr>
          </w:p>
        </w:tc>
      </w:tr>
      <w:tr w:rsidR="00516603" w:rsidRPr="00CF7CA7" w:rsidTr="009F5196">
        <w:trPr>
          <w:jc w:val="center"/>
        </w:trPr>
        <w:tc>
          <w:tcPr>
            <w:tcW w:w="44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rPr>
                <w:rFonts w:ascii="Arial" w:hAnsi="Arial" w:cs="Arial"/>
                <w:b/>
                <w:bCs/>
              </w:rPr>
            </w:pPr>
            <w:r w:rsidRPr="00CF7CA7">
              <w:rPr>
                <w:rFonts w:ascii="Arial" w:hAnsi="Arial" w:cs="Arial"/>
                <w:b/>
                <w:bCs/>
              </w:rPr>
              <w:t>Costo total TM de aceite de palma</w:t>
            </w:r>
          </w:p>
        </w:tc>
        <w:tc>
          <w:tcPr>
            <w:tcW w:w="4414" w:type="dxa"/>
            <w:tcBorders>
              <w:top w:val="nil"/>
              <w:left w:val="nil"/>
              <w:bottom w:val="single" w:sz="8" w:space="0" w:color="auto"/>
              <w:right w:val="single" w:sz="8" w:space="0" w:color="auto"/>
            </w:tcBorders>
            <w:tcMar>
              <w:top w:w="0" w:type="dxa"/>
              <w:left w:w="108" w:type="dxa"/>
              <w:bottom w:w="0" w:type="dxa"/>
              <w:right w:w="108" w:type="dxa"/>
            </w:tcMar>
            <w:hideMark/>
          </w:tcPr>
          <w:p w:rsidR="00516603" w:rsidRPr="00CF7CA7" w:rsidRDefault="00516603" w:rsidP="009F5196">
            <w:pPr>
              <w:jc w:val="right"/>
              <w:rPr>
                <w:rFonts w:ascii="Arial" w:hAnsi="Arial" w:cs="Arial"/>
              </w:rPr>
            </w:pPr>
            <w:r>
              <w:rPr>
                <w:rFonts w:ascii="Arial" w:hAnsi="Arial" w:cs="Arial"/>
                <w:b/>
                <w:bCs/>
              </w:rPr>
              <w:t>$720,27</w:t>
            </w:r>
          </w:p>
        </w:tc>
      </w:tr>
    </w:tbl>
    <w:p w:rsidR="00516603" w:rsidRPr="00CF7CA7" w:rsidRDefault="00516603" w:rsidP="00516603">
      <w:pPr>
        <w:pStyle w:val="Prrafodelista"/>
        <w:contextualSpacing w:val="0"/>
        <w:rPr>
          <w:rFonts w:ascii="Arial" w:eastAsiaTheme="minorHAnsi" w:hAnsi="Arial" w:cs="Arial"/>
        </w:rPr>
      </w:pPr>
    </w:p>
    <w:p w:rsidR="00516603" w:rsidRDefault="00516603" w:rsidP="00516603">
      <w:pPr>
        <w:pStyle w:val="Sinespaciado"/>
        <w:numPr>
          <w:ilvl w:val="0"/>
          <w:numId w:val="18"/>
        </w:numPr>
        <w:spacing w:line="276" w:lineRule="auto"/>
        <w:ind w:left="360"/>
        <w:jc w:val="both"/>
        <w:rPr>
          <w:rFonts w:ascii="Arial" w:hAnsi="Arial" w:cs="Arial"/>
          <w:lang w:val="es-CR"/>
        </w:rPr>
      </w:pPr>
      <w:r w:rsidRPr="004C351B">
        <w:rPr>
          <w:rFonts w:ascii="Arial" w:hAnsi="Arial" w:cs="Arial"/>
          <w:b/>
          <w:bCs/>
          <w:lang w:val="es-CR"/>
        </w:rPr>
        <w:t xml:space="preserve">Dado estos costos de industrialización, si se decide fijar los precios de compra de </w:t>
      </w:r>
      <w:r w:rsidRPr="004C351B">
        <w:rPr>
          <w:rFonts w:ascii="Arial" w:hAnsi="Arial" w:cs="Arial"/>
          <w:b/>
          <w:bCs/>
        </w:rPr>
        <w:t>$</w:t>
      </w:r>
      <w:r w:rsidRPr="004C351B">
        <w:rPr>
          <w:rFonts w:ascii="Arial" w:hAnsi="Arial" w:cs="Arial"/>
          <w:b/>
          <w:bCs/>
          <w:lang w:val="es-CR"/>
        </w:rPr>
        <w:t xml:space="preserve">116,46 por tonelada métrica de fruta (de acuerdo a nuestra actualización del costo agrícola), y de extracción del 22% (en el modelo nos da 26,23%), el costo de extracción ascendería a los $527,27, para generar una Tonelada métrica de aceite; al cual, si se le suma el costo promedio operativo de $193 (en promedio de los últimos años sin utilidad ni inversión), genera un total </w:t>
      </w:r>
      <w:r>
        <w:rPr>
          <w:rFonts w:ascii="Arial" w:hAnsi="Arial" w:cs="Arial"/>
          <w:b/>
          <w:bCs/>
          <w:lang w:val="es-CR"/>
        </w:rPr>
        <w:t>de $720,27</w:t>
      </w:r>
      <w:r w:rsidRPr="004C351B">
        <w:rPr>
          <w:rFonts w:ascii="Arial" w:hAnsi="Arial" w:cs="Arial"/>
          <w:b/>
          <w:bCs/>
          <w:lang w:val="es-CR"/>
        </w:rPr>
        <w:t xml:space="preserve"> por tonelada métrica de aceite.</w:t>
      </w:r>
      <w:r>
        <w:rPr>
          <w:rFonts w:ascii="Arial" w:hAnsi="Arial" w:cs="Arial"/>
          <w:lang w:val="es-CR"/>
        </w:rPr>
        <w:t xml:space="preserve"> Como se puede observar d</w:t>
      </w:r>
      <w:r w:rsidRPr="00540715">
        <w:rPr>
          <w:rFonts w:ascii="Arial" w:hAnsi="Arial" w:cs="Arial"/>
          <w:lang w:val="es-CR"/>
        </w:rPr>
        <w:t>el mercado de futuro de aceite crudo de palma</w:t>
      </w:r>
      <w:r>
        <w:rPr>
          <w:rFonts w:ascii="Arial" w:hAnsi="Arial" w:cs="Arial"/>
          <w:lang w:val="es-CR"/>
        </w:rPr>
        <w:t>, el precio internacional</w:t>
      </w:r>
      <w:r w:rsidRPr="00540715">
        <w:rPr>
          <w:rFonts w:ascii="Arial" w:hAnsi="Arial" w:cs="Arial"/>
          <w:lang w:val="es-CR"/>
        </w:rPr>
        <w:t xml:space="preserve"> se ha cotizado en algunos mom</w:t>
      </w:r>
      <w:r>
        <w:rPr>
          <w:rFonts w:ascii="Arial" w:hAnsi="Arial" w:cs="Arial"/>
          <w:lang w:val="es-CR"/>
        </w:rPr>
        <w:t xml:space="preserve">entos por debajo de este precio. </w:t>
      </w:r>
      <w:r w:rsidRPr="004C351B">
        <w:rPr>
          <w:rFonts w:ascii="Arial" w:hAnsi="Arial" w:cs="Arial"/>
          <w:b/>
          <w:bCs/>
          <w:lang w:val="es-CR"/>
        </w:rPr>
        <w:t xml:space="preserve">Esto evidencia que </w:t>
      </w:r>
      <w:r>
        <w:rPr>
          <w:rFonts w:ascii="Arial" w:hAnsi="Arial" w:cs="Arial"/>
          <w:b/>
          <w:bCs/>
          <w:lang w:val="es-CR"/>
        </w:rPr>
        <w:t xml:space="preserve">resultaría inconveniente </w:t>
      </w:r>
      <w:r w:rsidRPr="004C351B">
        <w:rPr>
          <w:rFonts w:ascii="Arial" w:hAnsi="Arial" w:cs="Arial"/>
          <w:b/>
          <w:bCs/>
          <w:lang w:val="es-CR"/>
        </w:rPr>
        <w:t>fijar un precio de referencia de compra para un producto que se exporta y depende de los precios internacionales, los cuales se encuentran actualmente deprimidos</w:t>
      </w:r>
      <w:r w:rsidRPr="0050074D">
        <w:rPr>
          <w:rFonts w:ascii="Arial" w:hAnsi="Arial" w:cs="Arial"/>
          <w:lang w:val="es-CR"/>
        </w:rPr>
        <w:t>.</w:t>
      </w:r>
    </w:p>
    <w:p w:rsidR="00516603" w:rsidRPr="00BF0DEB" w:rsidRDefault="00516603" w:rsidP="00516603">
      <w:pPr>
        <w:pStyle w:val="Prrafodelista"/>
        <w:numPr>
          <w:ilvl w:val="0"/>
          <w:numId w:val="18"/>
        </w:numPr>
        <w:spacing w:line="276" w:lineRule="auto"/>
        <w:ind w:left="360"/>
        <w:jc w:val="both"/>
        <w:rPr>
          <w:rFonts w:ascii="Arial" w:hAnsi="Arial" w:cs="Arial"/>
        </w:rPr>
      </w:pPr>
      <w:r w:rsidRPr="00BF0DEB">
        <w:rPr>
          <w:rFonts w:ascii="Arial" w:hAnsi="Arial" w:cs="Arial"/>
        </w:rPr>
        <w:t>Pr</w:t>
      </w:r>
      <w:r>
        <w:rPr>
          <w:rFonts w:ascii="Arial" w:hAnsi="Arial" w:cs="Arial"/>
        </w:rPr>
        <w:t>ecios internacionales de $720,27</w:t>
      </w:r>
      <w:r w:rsidRPr="00BF0DEB">
        <w:rPr>
          <w:rFonts w:ascii="Arial" w:hAnsi="Arial" w:cs="Arial"/>
        </w:rPr>
        <w:t xml:space="preserve"> por tonelada métrica debe ser considerado como el punto de quiebre de la industria, si el mercado internacional determina precios debajo de este monto, la industria tendría problemas para la compra de la fruta a productores, porque le provocaría pérdidas. </w:t>
      </w:r>
    </w:p>
    <w:p w:rsidR="00516603" w:rsidRPr="00BF0DEB" w:rsidRDefault="00516603" w:rsidP="00516603">
      <w:pPr>
        <w:pStyle w:val="Prrafodelista"/>
        <w:numPr>
          <w:ilvl w:val="0"/>
          <w:numId w:val="18"/>
        </w:numPr>
        <w:spacing w:line="276" w:lineRule="auto"/>
        <w:ind w:left="360"/>
        <w:jc w:val="both"/>
        <w:rPr>
          <w:rFonts w:ascii="Arial" w:hAnsi="Arial" w:cs="Arial"/>
        </w:rPr>
      </w:pPr>
      <w:r w:rsidRPr="00E84117">
        <w:rPr>
          <w:rFonts w:ascii="Arial" w:hAnsi="Arial" w:cs="Arial"/>
        </w:rPr>
        <w:t>Esto evidencia que resultaría inconveniente fijar un precio de referencia de compra para un producto que se exporta y depende de los precios internacionales, los cuales se encuentran actualmente deprimidos.</w:t>
      </w:r>
    </w:p>
    <w:p w:rsidR="00516603" w:rsidRPr="004C351B" w:rsidRDefault="00516603" w:rsidP="00516603">
      <w:pPr>
        <w:spacing w:line="276" w:lineRule="auto"/>
        <w:jc w:val="both"/>
        <w:rPr>
          <w:rFonts w:ascii="Arial" w:hAnsi="Arial" w:cs="Arial"/>
          <w:lang w:val="es-CR"/>
        </w:rPr>
      </w:pPr>
    </w:p>
    <w:p w:rsidR="00516603" w:rsidRDefault="00516603" w:rsidP="00516603">
      <w:pPr>
        <w:spacing w:line="276" w:lineRule="auto"/>
        <w:jc w:val="both"/>
        <w:rPr>
          <w:rFonts w:ascii="Arial" w:hAnsi="Arial" w:cs="Arial"/>
        </w:rPr>
      </w:pPr>
      <w:r>
        <w:rPr>
          <w:rFonts w:ascii="Arial" w:hAnsi="Arial" w:cs="Arial"/>
        </w:rPr>
        <w:lastRenderedPageBreak/>
        <w:t xml:space="preserve">En síntesis y considerando </w:t>
      </w:r>
      <w:r w:rsidRPr="0024738E">
        <w:rPr>
          <w:rFonts w:ascii="Arial" w:hAnsi="Arial" w:cs="Arial"/>
        </w:rPr>
        <w:t>la</w:t>
      </w:r>
      <w:r>
        <w:rPr>
          <w:rFonts w:ascii="Arial" w:hAnsi="Arial" w:cs="Arial"/>
        </w:rPr>
        <w:t>s</w:t>
      </w:r>
      <w:r w:rsidRPr="0024738E">
        <w:rPr>
          <w:rFonts w:ascii="Arial" w:hAnsi="Arial" w:cs="Arial"/>
        </w:rPr>
        <w:t xml:space="preserve"> condiciones que exige la regulación para proceder con la regulación de precios, en este caso de la fruta palma, se concluye la inconveniencia de proceder con la regulación del precio en tanto que:</w:t>
      </w:r>
    </w:p>
    <w:p w:rsidR="00516603" w:rsidRPr="00AE033A" w:rsidRDefault="00516603" w:rsidP="00516603">
      <w:pPr>
        <w:pStyle w:val="Sinespaciado"/>
        <w:spacing w:line="276" w:lineRule="auto"/>
        <w:jc w:val="both"/>
        <w:rPr>
          <w:rFonts w:ascii="Arial" w:hAnsi="Arial" w:cs="Arial"/>
          <w:lang w:val="es-CR"/>
        </w:rPr>
      </w:pPr>
    </w:p>
    <w:p w:rsidR="00516603" w:rsidRDefault="00516603" w:rsidP="00516603">
      <w:pPr>
        <w:pStyle w:val="Prrafodelista"/>
        <w:numPr>
          <w:ilvl w:val="0"/>
          <w:numId w:val="21"/>
        </w:numPr>
        <w:spacing w:line="276" w:lineRule="auto"/>
        <w:jc w:val="both"/>
        <w:rPr>
          <w:rFonts w:ascii="Arial" w:hAnsi="Arial" w:cs="Arial"/>
          <w:lang w:val="es-CR"/>
        </w:rPr>
      </w:pPr>
      <w:r w:rsidRPr="00656278">
        <w:rPr>
          <w:rFonts w:ascii="Arial" w:hAnsi="Arial" w:cs="Arial"/>
          <w:lang w:val="es-CR"/>
        </w:rPr>
        <w:t>El mercado de la fruta de palma aceitera en Costa Rica está conformado por cerca de 3.000 productores que venden su producción a dos industrias; Palma Tica y Coopeagropal R.L.</w:t>
      </w:r>
      <w:r>
        <w:rPr>
          <w:rFonts w:ascii="Arial" w:hAnsi="Arial" w:cs="Arial"/>
          <w:lang w:val="es-CR"/>
        </w:rPr>
        <w:t>,</w:t>
      </w:r>
      <w:r w:rsidRPr="00656278">
        <w:rPr>
          <w:rFonts w:ascii="Arial" w:hAnsi="Arial" w:cs="Arial"/>
          <w:lang w:val="es-CR"/>
        </w:rPr>
        <w:t xml:space="preserve"> </w:t>
      </w:r>
      <w:r>
        <w:rPr>
          <w:rFonts w:ascii="Arial" w:hAnsi="Arial" w:cs="Arial"/>
          <w:lang w:val="es-CR"/>
        </w:rPr>
        <w:t>donde e</w:t>
      </w:r>
      <w:r w:rsidRPr="00656278">
        <w:rPr>
          <w:rFonts w:ascii="Arial" w:hAnsi="Arial" w:cs="Arial"/>
          <w:lang w:val="es-CR"/>
        </w:rPr>
        <w:t xml:space="preserve">l principal producto extraído de la fruta de palma es el aceite crudo (Commoditie), el cual se vende en su mayoría en el </w:t>
      </w:r>
      <w:r>
        <w:rPr>
          <w:rFonts w:ascii="Arial" w:hAnsi="Arial" w:cs="Arial"/>
          <w:lang w:val="es-CR"/>
        </w:rPr>
        <w:t>mercado internacional.</w:t>
      </w:r>
    </w:p>
    <w:p w:rsidR="00516603" w:rsidRDefault="00516603" w:rsidP="00516603">
      <w:pPr>
        <w:pStyle w:val="Prrafodelista"/>
        <w:numPr>
          <w:ilvl w:val="0"/>
          <w:numId w:val="21"/>
        </w:numPr>
        <w:spacing w:line="276" w:lineRule="auto"/>
        <w:jc w:val="both"/>
        <w:rPr>
          <w:rFonts w:ascii="Arial" w:hAnsi="Arial" w:cs="Arial"/>
          <w:lang w:val="es-CR"/>
        </w:rPr>
      </w:pPr>
      <w:r w:rsidRPr="002526CD">
        <w:rPr>
          <w:rFonts w:ascii="Arial" w:hAnsi="Arial" w:cs="Arial"/>
          <w:lang w:val="es-CR"/>
        </w:rPr>
        <w:t>El aceite crudo en Costa Rica</w:t>
      </w:r>
      <w:r>
        <w:rPr>
          <w:rFonts w:ascii="Arial" w:hAnsi="Arial" w:cs="Arial"/>
          <w:lang w:val="es-CR"/>
        </w:rPr>
        <w:t xml:space="preserve"> es un producto de muy bajo valor agregado </w:t>
      </w:r>
      <w:r w:rsidRPr="002526CD">
        <w:rPr>
          <w:rFonts w:ascii="Arial" w:hAnsi="Arial" w:cs="Arial"/>
          <w:lang w:val="es-CR"/>
        </w:rPr>
        <w:t xml:space="preserve">y </w:t>
      </w:r>
      <w:r>
        <w:rPr>
          <w:rFonts w:ascii="Arial" w:hAnsi="Arial" w:cs="Arial"/>
          <w:lang w:val="es-CR"/>
        </w:rPr>
        <w:t>esto genera que deba venderse como materia prima, colocándose</w:t>
      </w:r>
      <w:r w:rsidRPr="002526CD">
        <w:rPr>
          <w:rFonts w:ascii="Arial" w:hAnsi="Arial" w:cs="Arial"/>
          <w:lang w:val="es-CR"/>
        </w:rPr>
        <w:t xml:space="preserve"> principalmente a nivel internacional (México)</w:t>
      </w:r>
      <w:r>
        <w:rPr>
          <w:rFonts w:ascii="Arial" w:hAnsi="Arial" w:cs="Arial"/>
          <w:lang w:val="es-CR"/>
        </w:rPr>
        <w:t>.</w:t>
      </w:r>
      <w:r w:rsidRPr="002526CD">
        <w:rPr>
          <w:rFonts w:ascii="Arial" w:hAnsi="Arial" w:cs="Arial"/>
          <w:lang w:val="es-CR"/>
        </w:rPr>
        <w:t xml:space="preserve"> </w:t>
      </w:r>
    </w:p>
    <w:p w:rsidR="00516603" w:rsidRDefault="00516603" w:rsidP="00516603">
      <w:pPr>
        <w:pStyle w:val="Prrafodelista"/>
        <w:numPr>
          <w:ilvl w:val="0"/>
          <w:numId w:val="21"/>
        </w:numPr>
        <w:spacing w:line="276" w:lineRule="auto"/>
        <w:jc w:val="both"/>
        <w:rPr>
          <w:rFonts w:ascii="Arial" w:hAnsi="Arial" w:cs="Arial"/>
          <w:lang w:val="es-CR"/>
        </w:rPr>
      </w:pPr>
      <w:r>
        <w:rPr>
          <w:rFonts w:ascii="Arial" w:hAnsi="Arial" w:cs="Arial"/>
          <w:lang w:val="es-CR"/>
        </w:rPr>
        <w:t xml:space="preserve">La disminución en los precios internacionales provocan afectaciones a los dos actores de mercado (productores e industrias). En el caso de los productores, se genera una disminución en el pago de la fruta, y por parte de la industria se genera afectaciones en las inversiones de capital y la eficiencia operativa que la empresa mantiene. </w:t>
      </w:r>
    </w:p>
    <w:p w:rsidR="00516603" w:rsidRDefault="00516603" w:rsidP="00516603">
      <w:pPr>
        <w:pStyle w:val="Prrafodelista"/>
        <w:numPr>
          <w:ilvl w:val="0"/>
          <w:numId w:val="21"/>
        </w:numPr>
        <w:spacing w:line="276" w:lineRule="auto"/>
        <w:jc w:val="both"/>
        <w:rPr>
          <w:rFonts w:ascii="Arial" w:hAnsi="Arial" w:cs="Arial"/>
          <w:lang w:val="es-CR"/>
        </w:rPr>
      </w:pPr>
      <w:r>
        <w:rPr>
          <w:rFonts w:ascii="Arial" w:hAnsi="Arial" w:cs="Arial"/>
          <w:lang w:val="es-CR"/>
        </w:rPr>
        <w:t>Los productores se enfrentan a dos compradores de mercado, Palma Tica S.A y Coopeagropal R.L los cuales cuentan con diferentes mecanismos de pago en la medición de la calidad de la fruta. A su vez, el productor tiene la libertad de vender la fruta a cualquiera de las dos industrias, y preferir aquella que pague mejor precio según la calidad de la fruta de palma.</w:t>
      </w:r>
    </w:p>
    <w:p w:rsidR="00516603" w:rsidRDefault="00516603" w:rsidP="00516603">
      <w:pPr>
        <w:pStyle w:val="Prrafodelista"/>
        <w:numPr>
          <w:ilvl w:val="0"/>
          <w:numId w:val="21"/>
        </w:numPr>
        <w:spacing w:line="276" w:lineRule="auto"/>
        <w:jc w:val="both"/>
        <w:rPr>
          <w:rFonts w:ascii="Arial" w:hAnsi="Arial" w:cs="Arial"/>
          <w:lang w:val="es-CR"/>
        </w:rPr>
      </w:pPr>
      <w:r>
        <w:rPr>
          <w:rFonts w:ascii="Arial" w:hAnsi="Arial" w:cs="Arial"/>
          <w:lang w:val="es-CR"/>
        </w:rPr>
        <w:t>Una posible regulación en lugar de ser beneficiosa para el sector podría constituirse en un mecanismo altamente peligroso para los productores, ya que las industrias al tener que asumir costos operativos y fijos</w:t>
      </w:r>
      <w:r w:rsidRPr="00E3184A">
        <w:rPr>
          <w:rFonts w:ascii="Arial" w:hAnsi="Arial" w:cs="Arial"/>
          <w:lang w:val="es-CR"/>
        </w:rPr>
        <w:t xml:space="preserve"> </w:t>
      </w:r>
      <w:r>
        <w:rPr>
          <w:rFonts w:ascii="Arial" w:hAnsi="Arial" w:cs="Arial"/>
          <w:lang w:val="es-CR"/>
        </w:rPr>
        <w:t xml:space="preserve">limitarían la compra de la fruta. </w:t>
      </w:r>
    </w:p>
    <w:p w:rsidR="00516603" w:rsidRDefault="00516603" w:rsidP="00516603">
      <w:pPr>
        <w:pStyle w:val="Prrafodelista"/>
        <w:numPr>
          <w:ilvl w:val="0"/>
          <w:numId w:val="21"/>
        </w:numPr>
        <w:spacing w:line="276" w:lineRule="auto"/>
        <w:jc w:val="both"/>
        <w:rPr>
          <w:rFonts w:ascii="Arial" w:hAnsi="Arial" w:cs="Arial"/>
          <w:lang w:val="es-CR"/>
        </w:rPr>
      </w:pPr>
      <w:r w:rsidRPr="009411AF">
        <w:rPr>
          <w:rFonts w:ascii="Arial" w:hAnsi="Arial" w:cs="Arial"/>
          <w:lang w:val="es-CR"/>
        </w:rPr>
        <w:t>El artículo 5 de la Ley 7472, establece los casos en los que procede la regulación de precios, en el primer caso la Administración Pública puede regular los precios de bienes y servicios sólo en situaciones de excepción, en forma temporal; en tal caso, debe fundar y motivar apropiadamente esa medida. Para el segundo caso específico de condiciones monopolísticas y oligopolísticas de bienes y servicios, la Administración Pública regulará la fijación de los precios mientras se mantengan esas condiciones. Es importante destacar que solo para este segundo caso es necesario el parecer previo de la Coprocom.</w:t>
      </w:r>
    </w:p>
    <w:p w:rsidR="00516603" w:rsidRDefault="00516603" w:rsidP="00516603">
      <w:pPr>
        <w:pStyle w:val="Prrafodelista"/>
        <w:numPr>
          <w:ilvl w:val="0"/>
          <w:numId w:val="21"/>
        </w:numPr>
        <w:spacing w:line="276" w:lineRule="auto"/>
        <w:jc w:val="both"/>
        <w:rPr>
          <w:rFonts w:ascii="Arial" w:hAnsi="Arial" w:cs="Arial"/>
          <w:lang w:val="es-CR"/>
        </w:rPr>
      </w:pPr>
      <w:r>
        <w:rPr>
          <w:rFonts w:ascii="Arial" w:hAnsi="Arial" w:cs="Arial"/>
          <w:lang w:val="es-CR"/>
        </w:rPr>
        <w:t xml:space="preserve">Este estudio tiene como objetivo identificar si existen condiciones de excepción en el mercado para proceder eventualmente con una regulación y </w:t>
      </w:r>
      <w:r>
        <w:rPr>
          <w:rFonts w:ascii="Arial" w:hAnsi="Arial" w:cs="Arial"/>
          <w:lang w:val="es-CR"/>
        </w:rPr>
        <w:lastRenderedPageBreak/>
        <w:t>esta Dirección no encuentra excepción alguna en el mercado de palma de fruta aceitera que permita plantear una posible regulación de precio.</w:t>
      </w:r>
    </w:p>
    <w:p w:rsidR="00516603" w:rsidRPr="00E25C5D" w:rsidRDefault="00516603" w:rsidP="00516603">
      <w:pPr>
        <w:pStyle w:val="Prrafodelista"/>
        <w:numPr>
          <w:ilvl w:val="0"/>
          <w:numId w:val="21"/>
        </w:numPr>
        <w:spacing w:line="276" w:lineRule="auto"/>
        <w:jc w:val="both"/>
        <w:rPr>
          <w:rFonts w:ascii="Arial" w:hAnsi="Arial" w:cs="Arial"/>
          <w:lang w:val="es-CR"/>
        </w:rPr>
      </w:pPr>
      <w:r>
        <w:rPr>
          <w:rFonts w:ascii="Arial" w:hAnsi="Arial" w:cs="Arial"/>
          <w:lang w:val="es-CR"/>
        </w:rPr>
        <w:t xml:space="preserve">Es inconveniente regular debido a la alta dependencia del mercado internacional, el cual en los años 2018 y 2019 ha registrado precios internacionales muy decrecientes, a esto se le suma el bajo valor agregado del aceite crudo de palma y los problemas en las calidades de fruta que tienen los productores por una baja productividad en finca. Como se ha argumentado una regulación </w:t>
      </w:r>
      <w:r w:rsidRPr="00E25C5D">
        <w:rPr>
          <w:rFonts w:ascii="Arial" w:hAnsi="Arial" w:cs="Arial"/>
          <w:lang w:val="es-CR"/>
        </w:rPr>
        <w:t>generar</w:t>
      </w:r>
      <w:r>
        <w:rPr>
          <w:rFonts w:ascii="Arial" w:hAnsi="Arial" w:cs="Arial"/>
          <w:lang w:val="es-CR"/>
        </w:rPr>
        <w:t xml:space="preserve">ía problemas tanto </w:t>
      </w:r>
      <w:r w:rsidRPr="00E25C5D">
        <w:rPr>
          <w:rFonts w:ascii="Arial" w:hAnsi="Arial" w:cs="Arial"/>
          <w:lang w:val="es-CR"/>
        </w:rPr>
        <w:t xml:space="preserve">a productores </w:t>
      </w:r>
      <w:r>
        <w:rPr>
          <w:rFonts w:ascii="Arial" w:hAnsi="Arial" w:cs="Arial"/>
          <w:lang w:val="es-CR"/>
        </w:rPr>
        <w:t>como</w:t>
      </w:r>
      <w:r w:rsidRPr="00E25C5D">
        <w:rPr>
          <w:rFonts w:ascii="Arial" w:hAnsi="Arial" w:cs="Arial"/>
          <w:lang w:val="es-CR"/>
        </w:rPr>
        <w:t xml:space="preserve"> industrias.  </w:t>
      </w:r>
    </w:p>
    <w:p w:rsidR="00516603" w:rsidRPr="00BE17CC" w:rsidRDefault="00516603" w:rsidP="00516603">
      <w:pPr>
        <w:spacing w:line="276" w:lineRule="auto"/>
        <w:jc w:val="both"/>
        <w:rPr>
          <w:rFonts w:ascii="Arial" w:hAnsi="Arial" w:cs="Arial"/>
          <w:lang w:val="es-CR"/>
        </w:rPr>
      </w:pPr>
    </w:p>
    <w:p w:rsidR="00516603" w:rsidRDefault="00516603" w:rsidP="00516603">
      <w:pPr>
        <w:pStyle w:val="Ttulo2"/>
        <w:rPr>
          <w:lang w:val="es-CR"/>
        </w:rPr>
      </w:pPr>
      <w:bookmarkStart w:id="146" w:name="_Toc52461403"/>
      <w:bookmarkStart w:id="147" w:name="_Toc63666233"/>
      <w:r w:rsidRPr="00520880">
        <w:rPr>
          <w:lang w:val="es-CR"/>
        </w:rPr>
        <w:t>Recomendaciones:</w:t>
      </w:r>
      <w:bookmarkEnd w:id="146"/>
      <w:bookmarkEnd w:id="147"/>
    </w:p>
    <w:p w:rsidR="00516603" w:rsidRPr="00520880" w:rsidRDefault="00516603" w:rsidP="00516603">
      <w:pPr>
        <w:rPr>
          <w:lang w:val="es-CR"/>
        </w:rPr>
      </w:pPr>
    </w:p>
    <w:p w:rsidR="00516603" w:rsidRDefault="00516603" w:rsidP="00516603">
      <w:pPr>
        <w:pStyle w:val="Prrafodelista"/>
        <w:numPr>
          <w:ilvl w:val="0"/>
          <w:numId w:val="19"/>
        </w:numPr>
        <w:spacing w:line="276" w:lineRule="auto"/>
        <w:ind w:left="360"/>
        <w:jc w:val="both"/>
        <w:rPr>
          <w:rFonts w:ascii="Arial" w:hAnsi="Arial" w:cs="Arial"/>
          <w:lang w:val="es-CR"/>
        </w:rPr>
      </w:pPr>
      <w:r w:rsidRPr="0004569D">
        <w:rPr>
          <w:rFonts w:ascii="Arial" w:hAnsi="Arial" w:cs="Arial"/>
          <w:lang w:val="es-CR"/>
        </w:rPr>
        <w:t xml:space="preserve">Debido a </w:t>
      </w:r>
      <w:r>
        <w:rPr>
          <w:rFonts w:ascii="Arial" w:hAnsi="Arial" w:cs="Arial"/>
          <w:lang w:val="es-CR"/>
        </w:rPr>
        <w:t>que el precio internacional por TM de aceite crudo de palma es la referencia para determinar el precio que se paga a los agricultores locales</w:t>
      </w:r>
      <w:r w:rsidRPr="0004569D">
        <w:rPr>
          <w:rFonts w:ascii="Arial" w:hAnsi="Arial" w:cs="Arial"/>
          <w:lang w:val="es-CR"/>
        </w:rPr>
        <w:t>,</w:t>
      </w:r>
      <w:r>
        <w:rPr>
          <w:rFonts w:ascii="Arial" w:hAnsi="Arial" w:cs="Arial"/>
          <w:lang w:val="es-CR"/>
        </w:rPr>
        <w:t xml:space="preserve"> esta</w:t>
      </w:r>
      <w:r w:rsidRPr="0004569D">
        <w:rPr>
          <w:rFonts w:ascii="Arial" w:hAnsi="Arial" w:cs="Arial"/>
          <w:lang w:val="es-CR"/>
        </w:rPr>
        <w:t xml:space="preserve"> Dirección no recomienda una regulación de precios de la fruta de palma, </w:t>
      </w:r>
      <w:r>
        <w:rPr>
          <w:rFonts w:ascii="Arial" w:hAnsi="Arial" w:cs="Arial"/>
          <w:lang w:val="es-CR"/>
        </w:rPr>
        <w:t>por cuanto:</w:t>
      </w:r>
    </w:p>
    <w:p w:rsidR="00516603" w:rsidRDefault="00516603" w:rsidP="00516603">
      <w:pPr>
        <w:pStyle w:val="Prrafodelista"/>
        <w:spacing w:line="276" w:lineRule="auto"/>
        <w:jc w:val="both"/>
        <w:rPr>
          <w:rFonts w:ascii="Arial" w:hAnsi="Arial" w:cs="Arial"/>
          <w:lang w:val="es-CR"/>
        </w:rPr>
      </w:pPr>
    </w:p>
    <w:p w:rsidR="00516603" w:rsidRDefault="00516603" w:rsidP="00516603">
      <w:pPr>
        <w:pStyle w:val="Prrafodelista"/>
        <w:numPr>
          <w:ilvl w:val="1"/>
          <w:numId w:val="19"/>
        </w:numPr>
        <w:spacing w:line="276" w:lineRule="auto"/>
        <w:ind w:left="1080"/>
        <w:jc w:val="both"/>
        <w:rPr>
          <w:rFonts w:ascii="Arial" w:hAnsi="Arial" w:cs="Arial"/>
          <w:lang w:val="es-CR"/>
        </w:rPr>
      </w:pPr>
      <w:r>
        <w:rPr>
          <w:rFonts w:ascii="Arial" w:hAnsi="Arial" w:cs="Arial"/>
          <w:lang w:val="es-CR"/>
        </w:rPr>
        <w:t xml:space="preserve">Al no estar referenciado al precio internacional, </w:t>
      </w:r>
      <w:r w:rsidRPr="0004569D">
        <w:rPr>
          <w:rFonts w:ascii="Arial" w:hAnsi="Arial" w:cs="Arial"/>
          <w:lang w:val="es-CR"/>
        </w:rPr>
        <w:t xml:space="preserve">podría significar una reducción en la compra de fruta por parte de las industrias, quienes </w:t>
      </w:r>
      <w:r>
        <w:rPr>
          <w:rFonts w:ascii="Arial" w:hAnsi="Arial" w:cs="Arial"/>
          <w:lang w:val="es-CR"/>
        </w:rPr>
        <w:t>se abastecerían sólo de sus</w:t>
      </w:r>
      <w:r w:rsidRPr="0004569D">
        <w:rPr>
          <w:rFonts w:ascii="Arial" w:hAnsi="Arial" w:cs="Arial"/>
          <w:lang w:val="es-CR"/>
        </w:rPr>
        <w:t xml:space="preserve"> </w:t>
      </w:r>
      <w:r>
        <w:rPr>
          <w:rFonts w:ascii="Arial" w:hAnsi="Arial" w:cs="Arial"/>
          <w:lang w:val="es-CR"/>
        </w:rPr>
        <w:t>plantaciones</w:t>
      </w:r>
      <w:r w:rsidRPr="0004569D">
        <w:rPr>
          <w:rFonts w:ascii="Arial" w:hAnsi="Arial" w:cs="Arial"/>
          <w:lang w:val="es-CR"/>
        </w:rPr>
        <w:t xml:space="preserve">, </w:t>
      </w:r>
      <w:r>
        <w:rPr>
          <w:rFonts w:ascii="Arial" w:hAnsi="Arial" w:cs="Arial"/>
          <w:lang w:val="es-CR"/>
        </w:rPr>
        <w:t xml:space="preserve">en perjuicio de los </w:t>
      </w:r>
      <w:r w:rsidRPr="0004569D">
        <w:rPr>
          <w:rFonts w:ascii="Arial" w:hAnsi="Arial" w:cs="Arial"/>
          <w:lang w:val="es-CR"/>
        </w:rPr>
        <w:t xml:space="preserve">micro y pequeños productores que no pertenecen a esquemas asociativos ni tienen contratos con las industrias. </w:t>
      </w:r>
    </w:p>
    <w:p w:rsidR="00516603" w:rsidRPr="00FB64DE" w:rsidRDefault="00516603" w:rsidP="00516603">
      <w:pPr>
        <w:pStyle w:val="Prrafodelista"/>
        <w:numPr>
          <w:ilvl w:val="1"/>
          <w:numId w:val="19"/>
        </w:numPr>
        <w:spacing w:line="276" w:lineRule="auto"/>
        <w:ind w:left="1080"/>
        <w:jc w:val="both"/>
        <w:rPr>
          <w:rFonts w:ascii="Arial" w:hAnsi="Arial" w:cs="Arial"/>
          <w:lang w:val="es-CR"/>
        </w:rPr>
      </w:pPr>
      <w:r w:rsidRPr="00FB64DE">
        <w:rPr>
          <w:rFonts w:ascii="Arial" w:hAnsi="Arial" w:cs="Arial"/>
          <w:lang w:val="es-CR"/>
        </w:rPr>
        <w:t xml:space="preserve">En este mercado existen pocos compradores, sin embargo, el comportamiento del precio internacional también ha provocado afectaciones en la industrias impactando directamente sus utilidades, donde resaltamos la situación financiera de Coopeagropal </w:t>
      </w:r>
      <w:r>
        <w:rPr>
          <w:rFonts w:ascii="Arial" w:hAnsi="Arial" w:cs="Arial"/>
          <w:lang w:val="es-CR"/>
        </w:rPr>
        <w:t>(</w:t>
      </w:r>
      <w:r w:rsidRPr="00FB64DE">
        <w:rPr>
          <w:rFonts w:ascii="Arial" w:hAnsi="Arial" w:cs="Arial"/>
          <w:lang w:val="es-CR"/>
        </w:rPr>
        <w:t>donde este Ministerio ha participado como ente de apoyo</w:t>
      </w:r>
      <w:r>
        <w:rPr>
          <w:rFonts w:ascii="Arial" w:hAnsi="Arial" w:cs="Arial"/>
          <w:lang w:val="es-CR"/>
        </w:rPr>
        <w:t>)</w:t>
      </w:r>
      <w:r w:rsidRPr="00FB64DE">
        <w:rPr>
          <w:rFonts w:ascii="Arial" w:hAnsi="Arial" w:cs="Arial"/>
          <w:lang w:val="es-CR"/>
        </w:rPr>
        <w:t xml:space="preserve">, </w:t>
      </w:r>
      <w:r>
        <w:rPr>
          <w:rFonts w:ascii="Arial" w:hAnsi="Arial" w:cs="Arial"/>
          <w:lang w:val="es-CR"/>
        </w:rPr>
        <w:t>y ante un</w:t>
      </w:r>
      <w:r w:rsidRPr="00FB64DE">
        <w:rPr>
          <w:rFonts w:ascii="Arial" w:hAnsi="Arial" w:cs="Arial"/>
          <w:lang w:val="es-CR"/>
        </w:rPr>
        <w:t xml:space="preserve">a regulación de precios de la fruta de palma, </w:t>
      </w:r>
      <w:r>
        <w:rPr>
          <w:rFonts w:ascii="Arial" w:hAnsi="Arial" w:cs="Arial"/>
          <w:lang w:val="es-CR"/>
        </w:rPr>
        <w:t xml:space="preserve">si el precio internacional baja más del precio de </w:t>
      </w:r>
      <w:r w:rsidRPr="00B75E9F">
        <w:rPr>
          <w:rFonts w:ascii="Arial" w:hAnsi="Arial" w:cs="Arial"/>
          <w:lang w:val="es-CR"/>
        </w:rPr>
        <w:t>$7</w:t>
      </w:r>
      <w:r>
        <w:rPr>
          <w:rFonts w:ascii="Arial" w:hAnsi="Arial" w:cs="Arial"/>
          <w:lang w:val="es-CR"/>
        </w:rPr>
        <w:t>20/TM</w:t>
      </w:r>
      <w:r w:rsidRPr="00FB64DE">
        <w:rPr>
          <w:rFonts w:ascii="Arial" w:hAnsi="Arial" w:cs="Arial"/>
          <w:lang w:val="es-CR"/>
        </w:rPr>
        <w:t xml:space="preserve">, </w:t>
      </w:r>
      <w:r>
        <w:rPr>
          <w:rFonts w:ascii="Arial" w:hAnsi="Arial" w:cs="Arial"/>
          <w:lang w:val="es-CR"/>
        </w:rPr>
        <w:t>esta Cooperativa enfrentaría posibles pérdidas al comprar o en su defecto</w:t>
      </w:r>
      <w:r w:rsidRPr="00FB64DE">
        <w:rPr>
          <w:rFonts w:ascii="Arial" w:hAnsi="Arial" w:cs="Arial"/>
          <w:lang w:val="es-CR"/>
        </w:rPr>
        <w:t xml:space="preserve"> </w:t>
      </w:r>
      <w:r>
        <w:rPr>
          <w:rFonts w:ascii="Arial" w:hAnsi="Arial" w:cs="Arial"/>
          <w:lang w:val="es-CR"/>
        </w:rPr>
        <w:t>dejaría de comprar a los agricultores no asociados</w:t>
      </w:r>
      <w:r w:rsidRPr="00FB64DE">
        <w:rPr>
          <w:rFonts w:ascii="Arial" w:hAnsi="Arial" w:cs="Arial"/>
          <w:lang w:val="es-CR"/>
        </w:rPr>
        <w:t>.</w:t>
      </w:r>
    </w:p>
    <w:p w:rsidR="00516603" w:rsidRPr="00BB2A1F" w:rsidRDefault="00516603" w:rsidP="00516603">
      <w:pPr>
        <w:pStyle w:val="Prrafodelista"/>
        <w:rPr>
          <w:rFonts w:ascii="Arial" w:hAnsi="Arial" w:cs="Arial"/>
          <w:lang w:val="es-CR"/>
        </w:rPr>
      </w:pPr>
    </w:p>
    <w:p w:rsidR="00516603" w:rsidRDefault="00516603" w:rsidP="00516603">
      <w:pPr>
        <w:pStyle w:val="Prrafodelista"/>
        <w:numPr>
          <w:ilvl w:val="0"/>
          <w:numId w:val="19"/>
        </w:numPr>
        <w:spacing w:line="276" w:lineRule="auto"/>
        <w:ind w:left="360"/>
        <w:jc w:val="both"/>
        <w:rPr>
          <w:rFonts w:ascii="Arial" w:hAnsi="Arial" w:cs="Arial"/>
          <w:lang w:val="es-CR"/>
        </w:rPr>
      </w:pPr>
      <w:r>
        <w:rPr>
          <w:rFonts w:ascii="Arial" w:hAnsi="Arial" w:cs="Arial"/>
          <w:lang w:val="es-CR"/>
        </w:rPr>
        <w:t xml:space="preserve">Este Ministerio no puede asegurar que las industrias continúen comprando la fruta ante una posible regulación, sin embargo en el análisis presentado se observa que, ante precios internacionales bajos, las industrias siempre han mantenido la compra a todos los agricultores, compartiendo ambas partes de esta afectación negativa, pero que no cerrando la oportunidad de venta a los productores locales de palma. </w:t>
      </w:r>
    </w:p>
    <w:p w:rsidR="00516603" w:rsidRDefault="00516603" w:rsidP="00516603">
      <w:pPr>
        <w:pStyle w:val="Prrafodelista"/>
        <w:spacing w:line="276" w:lineRule="auto"/>
        <w:ind w:left="360"/>
        <w:jc w:val="both"/>
        <w:rPr>
          <w:rFonts w:ascii="Arial" w:hAnsi="Arial" w:cs="Arial"/>
          <w:lang w:val="es-CR"/>
        </w:rPr>
      </w:pPr>
    </w:p>
    <w:p w:rsidR="00516603" w:rsidRPr="00043009" w:rsidRDefault="00516603" w:rsidP="00516603">
      <w:pPr>
        <w:pStyle w:val="Prrafodelista"/>
        <w:numPr>
          <w:ilvl w:val="0"/>
          <w:numId w:val="19"/>
        </w:numPr>
        <w:spacing w:line="276" w:lineRule="auto"/>
        <w:ind w:left="360"/>
        <w:jc w:val="both"/>
        <w:rPr>
          <w:rFonts w:ascii="Arial" w:hAnsi="Arial" w:cs="Arial"/>
          <w:lang w:val="es-CR"/>
        </w:rPr>
      </w:pPr>
      <w:r w:rsidRPr="00043009">
        <w:rPr>
          <w:rFonts w:ascii="Arial" w:hAnsi="Arial" w:cs="Arial"/>
        </w:rPr>
        <w:t>Fortalecer el trabajo interinstitucional que en conjunto con el sector privado (productores e industrias) se ha plasmado en el Plan Estratégico del Sector Palmero oficializado por el MAG en el 2019 y que actualmente está en ejecución, con el fin de mejorar las prácticas agrícolas de este sector:</w:t>
      </w:r>
    </w:p>
    <w:p w:rsidR="00516603" w:rsidRPr="001512E1" w:rsidRDefault="00516603" w:rsidP="00516603">
      <w:pPr>
        <w:pStyle w:val="Prrafodelista"/>
        <w:spacing w:line="276" w:lineRule="auto"/>
        <w:jc w:val="both"/>
        <w:rPr>
          <w:rFonts w:ascii="Arial" w:hAnsi="Arial" w:cs="Arial"/>
        </w:rPr>
      </w:pPr>
    </w:p>
    <w:p w:rsidR="00516603" w:rsidRDefault="00516603" w:rsidP="00516603">
      <w:pPr>
        <w:pStyle w:val="Prrafodelista"/>
        <w:numPr>
          <w:ilvl w:val="1"/>
          <w:numId w:val="22"/>
        </w:numPr>
        <w:spacing w:line="276" w:lineRule="auto"/>
        <w:jc w:val="both"/>
        <w:rPr>
          <w:rFonts w:ascii="Arial" w:hAnsi="Arial" w:cs="Arial"/>
        </w:rPr>
      </w:pPr>
      <w:r>
        <w:rPr>
          <w:rFonts w:ascii="Arial" w:hAnsi="Arial" w:cs="Arial"/>
        </w:rPr>
        <w:t>El sector debe trabajar en proyectos de valor agregado que permitan una transformación del sector y de esta manera poder mejorar la remuneración de los factores productivos en los distintos eslabones de la cadena de valor.</w:t>
      </w:r>
    </w:p>
    <w:p w:rsidR="00516603" w:rsidRPr="001512E1" w:rsidRDefault="00516603" w:rsidP="00516603">
      <w:pPr>
        <w:pStyle w:val="Prrafodelista"/>
        <w:numPr>
          <w:ilvl w:val="1"/>
          <w:numId w:val="22"/>
        </w:numPr>
        <w:spacing w:line="276" w:lineRule="auto"/>
        <w:jc w:val="both"/>
        <w:rPr>
          <w:rFonts w:ascii="Arial" w:hAnsi="Arial" w:cs="Arial"/>
        </w:rPr>
      </w:pPr>
      <w:r w:rsidRPr="001512E1">
        <w:rPr>
          <w:rFonts w:ascii="Arial" w:hAnsi="Arial" w:cs="Arial"/>
          <w:lang w:val="es-CR"/>
        </w:rPr>
        <w:t xml:space="preserve">El Plan Estratégico del Sector Palmero, es uno de los lineamientos de atención más completa para el </w:t>
      </w:r>
      <w:r>
        <w:rPr>
          <w:rFonts w:ascii="Arial" w:hAnsi="Arial" w:cs="Arial"/>
          <w:lang w:val="es-CR"/>
        </w:rPr>
        <w:t xml:space="preserve">mismo </w:t>
      </w:r>
      <w:r w:rsidRPr="001512E1">
        <w:rPr>
          <w:rFonts w:ascii="Arial" w:hAnsi="Arial" w:cs="Arial"/>
          <w:lang w:val="es-CR"/>
        </w:rPr>
        <w:t xml:space="preserve">y su implementación es de suma importancia, por tanto, esta Dirección recomienda que la Comisión Nacional de Palma Aceitera brinde a la Defensoría de los Habitantes resultados de </w:t>
      </w:r>
      <w:r>
        <w:rPr>
          <w:rFonts w:ascii="Arial" w:hAnsi="Arial" w:cs="Arial"/>
          <w:lang w:val="es-CR"/>
        </w:rPr>
        <w:t xml:space="preserve">su </w:t>
      </w:r>
      <w:r w:rsidRPr="001512E1">
        <w:rPr>
          <w:rFonts w:ascii="Arial" w:hAnsi="Arial" w:cs="Arial"/>
          <w:lang w:val="es-CR"/>
        </w:rPr>
        <w:t>seguimiento y acciones en atención al sector de forma semestral.</w:t>
      </w:r>
    </w:p>
    <w:p w:rsidR="00516603" w:rsidRPr="001512E1" w:rsidRDefault="00516603" w:rsidP="00516603">
      <w:pPr>
        <w:pStyle w:val="Prrafodelista"/>
        <w:numPr>
          <w:ilvl w:val="1"/>
          <w:numId w:val="22"/>
        </w:numPr>
        <w:spacing w:line="276" w:lineRule="auto"/>
        <w:jc w:val="both"/>
        <w:rPr>
          <w:rFonts w:ascii="Arial" w:hAnsi="Arial" w:cs="Arial"/>
        </w:rPr>
      </w:pPr>
      <w:r w:rsidRPr="001512E1">
        <w:rPr>
          <w:rFonts w:ascii="Arial" w:hAnsi="Arial" w:cs="Arial"/>
          <w:lang w:val="es-CR"/>
        </w:rPr>
        <w:t xml:space="preserve">La estructura del financiamiento del cultivo, el manejo adecuado de plantaciones, las estructuras de costos </w:t>
      </w:r>
      <w:r>
        <w:rPr>
          <w:rFonts w:ascii="Arial" w:hAnsi="Arial" w:cs="Arial"/>
          <w:lang w:val="es-CR"/>
        </w:rPr>
        <w:t xml:space="preserve">operativos </w:t>
      </w:r>
      <w:r w:rsidRPr="001512E1">
        <w:rPr>
          <w:rFonts w:ascii="Arial" w:hAnsi="Arial" w:cs="Arial"/>
          <w:lang w:val="es-CR"/>
        </w:rPr>
        <w:t xml:space="preserve">en las fincas </w:t>
      </w:r>
      <w:r>
        <w:rPr>
          <w:rFonts w:ascii="Arial" w:hAnsi="Arial" w:cs="Arial"/>
          <w:lang w:val="es-CR"/>
        </w:rPr>
        <w:t xml:space="preserve">así como </w:t>
      </w:r>
      <w:r w:rsidRPr="001512E1">
        <w:rPr>
          <w:rFonts w:ascii="Arial" w:hAnsi="Arial" w:cs="Arial"/>
          <w:lang w:val="es-CR"/>
        </w:rPr>
        <w:t xml:space="preserve">los niveles de productividad son temas de mejora del sector por lo que esta Dirección sugiere que sean asuntos prioritarios para la Comisión Nacional de Palma Aceitera. </w:t>
      </w:r>
    </w:p>
    <w:p w:rsidR="00516603" w:rsidRDefault="00516603" w:rsidP="00516603"/>
    <w:p w:rsidR="006625A1" w:rsidRPr="006625A1" w:rsidRDefault="006625A1" w:rsidP="00163F6C">
      <w:pPr>
        <w:spacing w:line="276" w:lineRule="auto"/>
        <w:jc w:val="both"/>
        <w:rPr>
          <w:rFonts w:ascii="Arial" w:hAnsi="Arial" w:cs="Arial"/>
          <w:color w:val="FF0000"/>
        </w:rPr>
      </w:pPr>
    </w:p>
    <w:sectPr w:rsidR="006625A1" w:rsidRPr="006625A1">
      <w:headerReference w:type="default" r:id="rId30"/>
      <w:foot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46E" w:rsidRDefault="0074646E">
      <w:r>
        <w:separator/>
      </w:r>
    </w:p>
  </w:endnote>
  <w:endnote w:type="continuationSeparator" w:id="0">
    <w:p w:rsidR="0074646E" w:rsidRDefault="0074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196" w:rsidRDefault="009F5196" w:rsidP="0028116B">
    <w:pPr>
      <w:pStyle w:val="Piedepgina"/>
      <w:ind w:right="-427"/>
      <w:jc w:val="center"/>
      <w:rPr>
        <w:rFonts w:cs="Arial"/>
        <w:noProof/>
        <w:sz w:val="20"/>
        <w:szCs w:val="20"/>
        <w:lang w:val="es-CR" w:eastAsia="es-CR"/>
      </w:rPr>
    </w:pPr>
    <w:r>
      <w:rPr>
        <w:rFonts w:cs="Arial"/>
        <w:noProof/>
        <w:sz w:val="20"/>
        <w:szCs w:val="20"/>
        <w:lang w:val="es-CR" w:eastAsia="es-CR"/>
      </w:rPr>
      <w:t>_________________________________________________________________________________________</w:t>
    </w:r>
  </w:p>
  <w:p w:rsidR="009F5196" w:rsidRDefault="009F5196" w:rsidP="0028116B">
    <w:pPr>
      <w:pStyle w:val="Piedepgina"/>
      <w:jc w:val="right"/>
      <w:rPr>
        <w:rFonts w:cs="Arial"/>
        <w:noProof/>
        <w:sz w:val="20"/>
        <w:szCs w:val="20"/>
        <w:lang w:val="es-CR" w:eastAsia="es-CR"/>
      </w:rPr>
    </w:pPr>
    <w:r w:rsidRPr="00326575">
      <w:rPr>
        <w:noProof/>
        <w:lang w:val="es-CR" w:eastAsia="es-CR"/>
      </w:rPr>
      <w:drawing>
        <wp:anchor distT="0" distB="0" distL="114300" distR="114300" simplePos="0" relativeHeight="251666432" behindDoc="1" locked="0" layoutInCell="1" allowOverlap="1" wp14:anchorId="1D09CFB4" wp14:editId="1C71F4EC">
          <wp:simplePos x="0" y="0"/>
          <wp:positionH relativeFrom="column">
            <wp:posOffset>5049327</wp:posOffset>
          </wp:positionH>
          <wp:positionV relativeFrom="paragraph">
            <wp:posOffset>8835</wp:posOffset>
          </wp:positionV>
          <wp:extent cx="1581785" cy="1041400"/>
          <wp:effectExtent l="0" t="0" r="0" b="6350"/>
          <wp:wrapNone/>
          <wp:docPr id="2" name="Imagen 2" descr="C:\Users\lporras\AppData\Local\Microsoft\Windows\INetCache\Content.Outlook\SWC64O8N\Logo Presidenc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rras\AppData\Local\Microsoft\Windows\INetCache\Content.Outlook\SWC64O8N\Logo Presidencia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78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196" w:rsidRPr="00B22175" w:rsidRDefault="009F5196" w:rsidP="0028116B">
    <w:pPr>
      <w:pStyle w:val="Piedepgina"/>
      <w:rPr>
        <w:rFonts w:cs="Arial"/>
        <w:noProof/>
        <w:sz w:val="20"/>
        <w:szCs w:val="20"/>
        <w:lang w:val="es-CR" w:eastAsia="es-CR"/>
      </w:rPr>
    </w:pPr>
    <w:r>
      <w:rPr>
        <w:rFonts w:cs="Arial"/>
        <w:noProof/>
        <w:sz w:val="20"/>
        <w:szCs w:val="20"/>
        <w:lang w:val="es-CR" w:eastAsia="es-CR"/>
      </w:rPr>
      <w:t xml:space="preserve">Tibás del Periódico La Nación 400 metros Este, Calle 13, Avenida 45. Oficentro Asebanacio. </w:t>
    </w:r>
  </w:p>
  <w:p w:rsidR="009F5196" w:rsidRPr="00B22175" w:rsidRDefault="009F5196" w:rsidP="0028116B">
    <w:pPr>
      <w:pStyle w:val="Piedepgina"/>
      <w:rPr>
        <w:rFonts w:cs="Arial"/>
        <w:noProof/>
        <w:sz w:val="20"/>
        <w:szCs w:val="20"/>
        <w:lang w:val="es-CR" w:eastAsia="es-CR"/>
      </w:rPr>
    </w:pPr>
    <w:r w:rsidRPr="00B22175">
      <w:rPr>
        <w:rFonts w:cs="Arial"/>
        <w:noProof/>
        <w:sz w:val="20"/>
        <w:szCs w:val="20"/>
        <w:lang w:val="es-CR" w:eastAsia="es-CR"/>
      </w:rPr>
      <w:t>Teléfono 2549-1400 | Apartado Postal 10.216-1000, San José, Costa Rica</w:t>
    </w:r>
  </w:p>
  <w:p w:rsidR="009F5196" w:rsidRPr="00B22175" w:rsidRDefault="0074646E" w:rsidP="0028116B">
    <w:pPr>
      <w:pStyle w:val="Piedepgina"/>
      <w:rPr>
        <w:rFonts w:cs="Arial"/>
        <w:noProof/>
        <w:sz w:val="20"/>
        <w:szCs w:val="20"/>
        <w:lang w:val="es-CR" w:eastAsia="es-CR"/>
      </w:rPr>
    </w:pPr>
    <w:hyperlink r:id="rId2" w:history="1">
      <w:r w:rsidR="009F5196" w:rsidRPr="00B22175">
        <w:rPr>
          <w:rStyle w:val="Hipervnculo"/>
          <w:rFonts w:cs="Arial"/>
          <w:noProof/>
          <w:sz w:val="20"/>
          <w:szCs w:val="20"/>
          <w:lang w:val="es-CR" w:eastAsia="es-CR"/>
        </w:rPr>
        <w:t>estudios_e@meic.go.cr</w:t>
      </w:r>
    </w:hyperlink>
    <w:r w:rsidR="009F5196" w:rsidRPr="00B22175">
      <w:rPr>
        <w:rFonts w:cs="Arial"/>
        <w:noProof/>
        <w:sz w:val="20"/>
        <w:szCs w:val="20"/>
        <w:lang w:val="es-CR" w:eastAsia="es-CR"/>
      </w:rPr>
      <w:t xml:space="preserve"> | </w:t>
    </w:r>
    <w:hyperlink r:id="rId3" w:history="1">
      <w:r w:rsidR="009F5196" w:rsidRPr="00B22175">
        <w:rPr>
          <w:rStyle w:val="Hipervnculo"/>
          <w:rFonts w:cs="Arial"/>
          <w:noProof/>
          <w:sz w:val="20"/>
          <w:szCs w:val="20"/>
          <w:lang w:val="es-CR" w:eastAsia="es-CR"/>
        </w:rPr>
        <w:t>www.meic.go.cr</w:t>
      </w:r>
    </w:hyperlink>
  </w:p>
  <w:p w:rsidR="009F5196" w:rsidRDefault="009F5196" w:rsidP="0028116B">
    <w:pPr>
      <w:pStyle w:val="Piedepgina"/>
      <w:rPr>
        <w:noProof/>
        <w:lang w:val="es-CR" w:eastAsia="es-CR"/>
      </w:rPr>
    </w:pPr>
  </w:p>
  <w:p w:rsidR="009F5196" w:rsidRDefault="009F5196" w:rsidP="0028116B">
    <w:pPr>
      <w:pStyle w:val="Piedepgina"/>
    </w:pPr>
  </w:p>
  <w:p w:rsidR="009F5196" w:rsidRDefault="009F5196" w:rsidP="0028116B">
    <w:pPr>
      <w:pStyle w:val="Piedepgina"/>
    </w:pPr>
    <w:r>
      <w:rPr>
        <w:noProof/>
        <w:lang w:val="es-CR" w:eastAsia="es-CR"/>
      </w:rPr>
      <w:drawing>
        <wp:anchor distT="0" distB="0" distL="114300" distR="114300" simplePos="0" relativeHeight="251665408" behindDoc="0" locked="0" layoutInCell="1" allowOverlap="1" wp14:anchorId="5ACDD4FA" wp14:editId="25707375">
          <wp:simplePos x="0" y="0"/>
          <wp:positionH relativeFrom="column">
            <wp:posOffset>4807585</wp:posOffset>
          </wp:positionH>
          <wp:positionV relativeFrom="paragraph">
            <wp:posOffset>8583930</wp:posOffset>
          </wp:positionV>
          <wp:extent cx="2791460" cy="527685"/>
          <wp:effectExtent l="0" t="0" r="8890" b="5715"/>
          <wp:wrapNone/>
          <wp:docPr id="3"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4384" behindDoc="0" locked="0" layoutInCell="1" allowOverlap="1" wp14:anchorId="660A13E9" wp14:editId="2BAACBA1">
          <wp:simplePos x="0" y="0"/>
          <wp:positionH relativeFrom="column">
            <wp:posOffset>4807585</wp:posOffset>
          </wp:positionH>
          <wp:positionV relativeFrom="paragraph">
            <wp:posOffset>8583930</wp:posOffset>
          </wp:positionV>
          <wp:extent cx="2791460" cy="527685"/>
          <wp:effectExtent l="0" t="0" r="8890" b="5715"/>
          <wp:wrapNone/>
          <wp:docPr id="4"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3360" behindDoc="0" locked="0" layoutInCell="1" allowOverlap="1" wp14:anchorId="5252AE3D" wp14:editId="48F33054">
          <wp:simplePos x="0" y="0"/>
          <wp:positionH relativeFrom="column">
            <wp:posOffset>4807585</wp:posOffset>
          </wp:positionH>
          <wp:positionV relativeFrom="paragraph">
            <wp:posOffset>8583930</wp:posOffset>
          </wp:positionV>
          <wp:extent cx="2791460" cy="527685"/>
          <wp:effectExtent l="0" t="0" r="8890" b="5715"/>
          <wp:wrapNone/>
          <wp:docPr id="5"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2336" behindDoc="0" locked="0" layoutInCell="1" allowOverlap="1" wp14:anchorId="3491DC03" wp14:editId="5AB21C3B">
          <wp:simplePos x="0" y="0"/>
          <wp:positionH relativeFrom="column">
            <wp:posOffset>4819650</wp:posOffset>
          </wp:positionH>
          <wp:positionV relativeFrom="paragraph">
            <wp:posOffset>8615680</wp:posOffset>
          </wp:positionV>
          <wp:extent cx="2791460" cy="527685"/>
          <wp:effectExtent l="0" t="0" r="8890" b="5715"/>
          <wp:wrapNone/>
          <wp:docPr id="6"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1312" behindDoc="0" locked="0" layoutInCell="1" allowOverlap="1" wp14:anchorId="7DF1E5A9" wp14:editId="4404899E">
          <wp:simplePos x="0" y="0"/>
          <wp:positionH relativeFrom="column">
            <wp:posOffset>-59055</wp:posOffset>
          </wp:positionH>
          <wp:positionV relativeFrom="paragraph">
            <wp:posOffset>8289290</wp:posOffset>
          </wp:positionV>
          <wp:extent cx="7849870" cy="1828800"/>
          <wp:effectExtent l="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9870" cy="1828800"/>
                  </a:xfrm>
                  <a:prstGeom prst="rect">
                    <a:avLst/>
                  </a:prstGeom>
                  <a:noFill/>
                  <a:ln>
                    <a:noFill/>
                  </a:ln>
                </pic:spPr>
              </pic:pic>
            </a:graphicData>
          </a:graphic>
        </wp:anchor>
      </w:drawing>
    </w:r>
  </w:p>
  <w:p w:rsidR="009F5196" w:rsidRDefault="009F51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46E" w:rsidRDefault="0074646E">
      <w:r>
        <w:separator/>
      </w:r>
    </w:p>
  </w:footnote>
  <w:footnote w:type="continuationSeparator" w:id="0">
    <w:p w:rsidR="0074646E" w:rsidRDefault="007464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196" w:rsidRDefault="009F5196" w:rsidP="0028116B">
    <w:r>
      <w:rPr>
        <w:noProof/>
        <w:lang w:val="es-CR" w:eastAsia="es-CR"/>
      </w:rPr>
      <w:drawing>
        <wp:anchor distT="0" distB="0" distL="114300" distR="114300" simplePos="0" relativeHeight="251659264" behindDoc="0" locked="0" layoutInCell="1" allowOverlap="1" wp14:anchorId="7698162A" wp14:editId="4397439E">
          <wp:simplePos x="0" y="0"/>
          <wp:positionH relativeFrom="column">
            <wp:posOffset>-527713</wp:posOffset>
          </wp:positionH>
          <wp:positionV relativeFrom="paragraph">
            <wp:posOffset>-172112</wp:posOffset>
          </wp:positionV>
          <wp:extent cx="1800225" cy="617220"/>
          <wp:effectExtent l="0" t="0" r="952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17220"/>
                  </a:xfrm>
                  <a:prstGeom prst="rect">
                    <a:avLst/>
                  </a:prstGeom>
                  <a:noFill/>
                  <a:ln>
                    <a:noFill/>
                  </a:ln>
                </pic:spPr>
              </pic:pic>
            </a:graphicData>
          </a:graphic>
        </wp:anchor>
      </w:drawing>
    </w:r>
  </w:p>
  <w:p w:rsidR="009F5196" w:rsidRDefault="009F5196" w:rsidP="0028116B">
    <w:pPr>
      <w:pStyle w:val="Estilo"/>
      <w:framePr w:w="5411" w:h="854" w:wrap="auto" w:vAnchor="page" w:hAnchor="page" w:x="6174" w:y="715"/>
      <w:spacing w:line="288" w:lineRule="exact"/>
      <w:ind w:left="9" w:right="9"/>
      <w:jc w:val="right"/>
      <w:rPr>
        <w:bCs/>
        <w:color w:val="2C2C84"/>
        <w:sz w:val="20"/>
        <w:szCs w:val="20"/>
        <w:lang w:val="es-ES_tradnl"/>
      </w:rPr>
    </w:pPr>
    <w:r>
      <w:rPr>
        <w:bCs/>
        <w:color w:val="2C2C84"/>
        <w:sz w:val="20"/>
        <w:szCs w:val="20"/>
        <w:lang w:val="es-ES_tradnl"/>
      </w:rPr>
      <w:t>Dirección de Investigaciones Económicas y de Mercados</w:t>
    </w:r>
  </w:p>
  <w:p w:rsidR="009F5196" w:rsidRPr="00E429E2" w:rsidRDefault="009F5196" w:rsidP="0028116B">
    <w:pPr>
      <w:pStyle w:val="Estilo"/>
      <w:framePr w:w="5411" w:h="854" w:wrap="auto" w:vAnchor="page" w:hAnchor="page" w:x="6174" w:y="715"/>
      <w:spacing w:line="288" w:lineRule="exact"/>
      <w:ind w:right="9"/>
      <w:jc w:val="right"/>
      <w:rPr>
        <w:color w:val="2C2C84"/>
        <w:sz w:val="20"/>
        <w:szCs w:val="20"/>
        <w:lang w:val="es-ES_tradnl"/>
      </w:rPr>
    </w:pPr>
    <w:r w:rsidRPr="00E429E2">
      <w:rPr>
        <w:color w:val="2C2C84"/>
        <w:sz w:val="20"/>
        <w:szCs w:val="20"/>
        <w:lang w:val="es-ES_tradnl"/>
      </w:rPr>
      <w:t>Teléfono: (506)</w:t>
    </w:r>
    <w:r>
      <w:rPr>
        <w:color w:val="2C2C84"/>
        <w:sz w:val="20"/>
        <w:szCs w:val="20"/>
        <w:lang w:val="es-ES_tradnl"/>
      </w:rPr>
      <w:t xml:space="preserve"> 2549-1400 Ext.: 300</w:t>
    </w:r>
    <w:r w:rsidRPr="00E429E2">
      <w:rPr>
        <w:color w:val="2C2C84"/>
        <w:sz w:val="20"/>
        <w:szCs w:val="20"/>
        <w:lang w:val="es-ES_tradnl"/>
      </w:rPr>
      <w:t xml:space="preserve"> </w:t>
    </w:r>
  </w:p>
  <w:p w:rsidR="009F5196" w:rsidRDefault="009F5196" w:rsidP="0028116B">
    <w:pPr>
      <w:pStyle w:val="Estilo"/>
      <w:widowControl/>
      <w:autoSpaceDE/>
      <w:autoSpaceDN/>
      <w:adjustRightInd/>
      <w:rPr>
        <w:sz w:val="15"/>
        <w:szCs w:val="15"/>
        <w:lang w:val="es-ES_tradnl"/>
      </w:rPr>
    </w:pPr>
  </w:p>
  <w:p w:rsidR="009F5196" w:rsidRDefault="009F5196" w:rsidP="0028116B">
    <w:pPr>
      <w:pStyle w:val="Estilo"/>
      <w:widowControl/>
      <w:autoSpaceDE/>
      <w:autoSpaceDN/>
      <w:adjustRightInd/>
      <w:rPr>
        <w:sz w:val="15"/>
        <w:szCs w:val="15"/>
        <w:lang w:val="es-ES_tradnl"/>
      </w:rPr>
    </w:pPr>
  </w:p>
  <w:p w:rsidR="009F5196" w:rsidRPr="00A96EA4" w:rsidRDefault="009F5196" w:rsidP="0028116B">
    <w:pPr>
      <w:pStyle w:val="Estilo"/>
      <w:framePr w:w="3226" w:h="251" w:wrap="auto" w:vAnchor="page" w:hAnchor="page" w:x="889" w:y="1454"/>
      <w:spacing w:line="153" w:lineRule="exact"/>
      <w:ind w:left="9"/>
      <w:rPr>
        <w:w w:val="81"/>
        <w:sz w:val="16"/>
        <w:szCs w:val="16"/>
        <w:lang w:val="es-ES_tradnl"/>
      </w:rPr>
    </w:pPr>
    <w:r w:rsidRPr="00A96EA4">
      <w:rPr>
        <w:w w:val="81"/>
        <w:sz w:val="16"/>
        <w:szCs w:val="16"/>
        <w:lang w:val="es-ES_tradnl"/>
      </w:rPr>
      <w:t xml:space="preserve">Ministerio de Economía, Industria y Comercio </w:t>
    </w:r>
  </w:p>
  <w:p w:rsidR="009F5196" w:rsidRPr="001F016E" w:rsidRDefault="009F5196" w:rsidP="0028116B">
    <w:pPr>
      <w:pStyle w:val="Encabezado"/>
      <w:rPr>
        <w:lang w:val="es-ES_tradnl"/>
      </w:rPr>
    </w:pPr>
  </w:p>
  <w:p w:rsidR="009F5196" w:rsidRPr="0028116B" w:rsidRDefault="009F5196">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062A"/>
    <w:multiLevelType w:val="hybridMultilevel"/>
    <w:tmpl w:val="DFDA42A8"/>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36A18D1"/>
    <w:multiLevelType w:val="hybridMultilevel"/>
    <w:tmpl w:val="9E5822B8"/>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D507671"/>
    <w:multiLevelType w:val="hybridMultilevel"/>
    <w:tmpl w:val="92680538"/>
    <w:lvl w:ilvl="0" w:tplc="140A000F">
      <w:start w:val="1"/>
      <w:numFmt w:val="decimal"/>
      <w:lvlText w:val="%1."/>
      <w:lvlJc w:val="left"/>
      <w:pPr>
        <w:ind w:left="360" w:hanging="360"/>
      </w:pPr>
      <w:rPr>
        <w:rFonts w:hint="default"/>
      </w:rPr>
    </w:lvl>
    <w:lvl w:ilvl="1" w:tplc="140A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293331"/>
    <w:multiLevelType w:val="hybridMultilevel"/>
    <w:tmpl w:val="380CB430"/>
    <w:lvl w:ilvl="0" w:tplc="140A0001">
      <w:start w:val="1"/>
      <w:numFmt w:val="bullet"/>
      <w:lvlText w:val=""/>
      <w:lvlJc w:val="left"/>
      <w:pPr>
        <w:ind w:left="502" w:hanging="360"/>
      </w:pPr>
      <w:rPr>
        <w:rFonts w:ascii="Symbol" w:hAnsi="Symbol" w:hint="default"/>
      </w:rPr>
    </w:lvl>
    <w:lvl w:ilvl="1" w:tplc="140A0003">
      <w:start w:val="1"/>
      <w:numFmt w:val="bullet"/>
      <w:lvlText w:val="o"/>
      <w:lvlJc w:val="left"/>
      <w:pPr>
        <w:ind w:left="1222" w:hanging="360"/>
      </w:pPr>
      <w:rPr>
        <w:rFonts w:ascii="Courier New" w:hAnsi="Courier New" w:cs="Courier New" w:hint="default"/>
      </w:rPr>
    </w:lvl>
    <w:lvl w:ilvl="2" w:tplc="140A0005">
      <w:start w:val="1"/>
      <w:numFmt w:val="bullet"/>
      <w:lvlText w:val=""/>
      <w:lvlJc w:val="left"/>
      <w:pPr>
        <w:ind w:left="1942" w:hanging="360"/>
      </w:pPr>
      <w:rPr>
        <w:rFonts w:ascii="Wingdings" w:hAnsi="Wingdings" w:hint="default"/>
      </w:rPr>
    </w:lvl>
    <w:lvl w:ilvl="3" w:tplc="140A0001">
      <w:start w:val="1"/>
      <w:numFmt w:val="bullet"/>
      <w:lvlText w:val=""/>
      <w:lvlJc w:val="left"/>
      <w:pPr>
        <w:ind w:left="2662" w:hanging="360"/>
      </w:pPr>
      <w:rPr>
        <w:rFonts w:ascii="Symbol" w:hAnsi="Symbol" w:hint="default"/>
      </w:rPr>
    </w:lvl>
    <w:lvl w:ilvl="4" w:tplc="140A0003">
      <w:start w:val="1"/>
      <w:numFmt w:val="bullet"/>
      <w:lvlText w:val="o"/>
      <w:lvlJc w:val="left"/>
      <w:pPr>
        <w:ind w:left="3382" w:hanging="360"/>
      </w:pPr>
      <w:rPr>
        <w:rFonts w:ascii="Courier New" w:hAnsi="Courier New" w:cs="Courier New" w:hint="default"/>
      </w:rPr>
    </w:lvl>
    <w:lvl w:ilvl="5" w:tplc="140A0005">
      <w:start w:val="1"/>
      <w:numFmt w:val="bullet"/>
      <w:lvlText w:val=""/>
      <w:lvlJc w:val="left"/>
      <w:pPr>
        <w:ind w:left="4102" w:hanging="360"/>
      </w:pPr>
      <w:rPr>
        <w:rFonts w:ascii="Wingdings" w:hAnsi="Wingdings" w:hint="default"/>
      </w:rPr>
    </w:lvl>
    <w:lvl w:ilvl="6" w:tplc="140A0001">
      <w:start w:val="1"/>
      <w:numFmt w:val="bullet"/>
      <w:lvlText w:val=""/>
      <w:lvlJc w:val="left"/>
      <w:pPr>
        <w:ind w:left="4822" w:hanging="360"/>
      </w:pPr>
      <w:rPr>
        <w:rFonts w:ascii="Symbol" w:hAnsi="Symbol" w:hint="default"/>
      </w:rPr>
    </w:lvl>
    <w:lvl w:ilvl="7" w:tplc="140A0003">
      <w:start w:val="1"/>
      <w:numFmt w:val="bullet"/>
      <w:lvlText w:val="o"/>
      <w:lvlJc w:val="left"/>
      <w:pPr>
        <w:ind w:left="5542" w:hanging="360"/>
      </w:pPr>
      <w:rPr>
        <w:rFonts w:ascii="Courier New" w:hAnsi="Courier New" w:cs="Courier New" w:hint="default"/>
      </w:rPr>
    </w:lvl>
    <w:lvl w:ilvl="8" w:tplc="140A0005">
      <w:start w:val="1"/>
      <w:numFmt w:val="bullet"/>
      <w:lvlText w:val=""/>
      <w:lvlJc w:val="left"/>
      <w:pPr>
        <w:ind w:left="6262" w:hanging="360"/>
      </w:pPr>
      <w:rPr>
        <w:rFonts w:ascii="Wingdings" w:hAnsi="Wingdings" w:hint="default"/>
      </w:rPr>
    </w:lvl>
  </w:abstractNum>
  <w:abstractNum w:abstractNumId="4" w15:restartNumberingAfterBreak="0">
    <w:nsid w:val="1EB25776"/>
    <w:multiLevelType w:val="hybridMultilevel"/>
    <w:tmpl w:val="23746CC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5B709AD"/>
    <w:multiLevelType w:val="hybridMultilevel"/>
    <w:tmpl w:val="7C8461B6"/>
    <w:lvl w:ilvl="0" w:tplc="0C0A0011">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B9408CD"/>
    <w:multiLevelType w:val="hybridMultilevel"/>
    <w:tmpl w:val="833E53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CD76818"/>
    <w:multiLevelType w:val="hybridMultilevel"/>
    <w:tmpl w:val="66F2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96655"/>
    <w:multiLevelType w:val="hybridMultilevel"/>
    <w:tmpl w:val="E7E01E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F9B16F4"/>
    <w:multiLevelType w:val="hybridMultilevel"/>
    <w:tmpl w:val="77764D8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9984D9F"/>
    <w:multiLevelType w:val="hybridMultilevel"/>
    <w:tmpl w:val="47C6E9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7ED01C2"/>
    <w:multiLevelType w:val="hybridMultilevel"/>
    <w:tmpl w:val="8DA8F4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DF74826"/>
    <w:multiLevelType w:val="hybridMultilevel"/>
    <w:tmpl w:val="587271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0895AF1"/>
    <w:multiLevelType w:val="hybridMultilevel"/>
    <w:tmpl w:val="52A8476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0DB1668"/>
    <w:multiLevelType w:val="hybridMultilevel"/>
    <w:tmpl w:val="B3DEE242"/>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53540C5B"/>
    <w:multiLevelType w:val="hybridMultilevel"/>
    <w:tmpl w:val="3E6AD91A"/>
    <w:lvl w:ilvl="0" w:tplc="140A000B">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59915E78"/>
    <w:multiLevelType w:val="hybridMultilevel"/>
    <w:tmpl w:val="BAFA9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94402"/>
    <w:multiLevelType w:val="hybridMultilevel"/>
    <w:tmpl w:val="70A294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D247D56"/>
    <w:multiLevelType w:val="hybridMultilevel"/>
    <w:tmpl w:val="44A86FB0"/>
    <w:lvl w:ilvl="0" w:tplc="6B08936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5165234"/>
    <w:multiLevelType w:val="hybridMultilevel"/>
    <w:tmpl w:val="D598C77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7B0EC4"/>
    <w:multiLevelType w:val="hybridMultilevel"/>
    <w:tmpl w:val="05AAB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736A6DE9"/>
    <w:multiLevelType w:val="hybridMultilevel"/>
    <w:tmpl w:val="A136292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5574A8A"/>
    <w:multiLevelType w:val="hybridMultilevel"/>
    <w:tmpl w:val="AE7673D4"/>
    <w:lvl w:ilvl="0" w:tplc="04090001">
      <w:start w:val="1"/>
      <w:numFmt w:val="bullet"/>
      <w:lvlText w:val=""/>
      <w:lvlJc w:val="left"/>
      <w:pPr>
        <w:ind w:left="720" w:hanging="360"/>
      </w:pPr>
      <w:rPr>
        <w:rFonts w:ascii="Symbol" w:hAnsi="Symbol" w:hint="default"/>
      </w:rPr>
    </w:lvl>
    <w:lvl w:ilvl="1" w:tplc="140A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19"/>
  </w:num>
  <w:num w:numId="5">
    <w:abstractNumId w:val="21"/>
  </w:num>
  <w:num w:numId="6">
    <w:abstractNumId w:val="18"/>
  </w:num>
  <w:num w:numId="7">
    <w:abstractNumId w:val="15"/>
  </w:num>
  <w:num w:numId="8">
    <w:abstractNumId w:val="8"/>
  </w:num>
  <w:num w:numId="9">
    <w:abstractNumId w:val="13"/>
  </w:num>
  <w:num w:numId="10">
    <w:abstractNumId w:val="9"/>
  </w:num>
  <w:num w:numId="11">
    <w:abstractNumId w:val="20"/>
  </w:num>
  <w:num w:numId="12">
    <w:abstractNumId w:val="3"/>
  </w:num>
  <w:num w:numId="13">
    <w:abstractNumId w:val="1"/>
  </w:num>
  <w:num w:numId="14">
    <w:abstractNumId w:val="6"/>
  </w:num>
  <w:num w:numId="15">
    <w:abstractNumId w:val="11"/>
  </w:num>
  <w:num w:numId="16">
    <w:abstractNumId w:val="17"/>
  </w:num>
  <w:num w:numId="17">
    <w:abstractNumId w:val="10"/>
  </w:num>
  <w:num w:numId="18">
    <w:abstractNumId w:val="7"/>
  </w:num>
  <w:num w:numId="19">
    <w:abstractNumId w:val="16"/>
  </w:num>
  <w:num w:numId="20">
    <w:abstractNumId w:val="4"/>
  </w:num>
  <w:num w:numId="21">
    <w:abstractNumId w:val="14"/>
  </w:num>
  <w:num w:numId="22">
    <w:abstractNumId w:val="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C7"/>
    <w:rsid w:val="00002A0D"/>
    <w:rsid w:val="000038AD"/>
    <w:rsid w:val="000039EC"/>
    <w:rsid w:val="00003CC5"/>
    <w:rsid w:val="000061AA"/>
    <w:rsid w:val="00007064"/>
    <w:rsid w:val="00015FD9"/>
    <w:rsid w:val="000169B2"/>
    <w:rsid w:val="00016C6D"/>
    <w:rsid w:val="0002088D"/>
    <w:rsid w:val="0003035F"/>
    <w:rsid w:val="000405AD"/>
    <w:rsid w:val="00044008"/>
    <w:rsid w:val="0004569D"/>
    <w:rsid w:val="00045AF7"/>
    <w:rsid w:val="00047EB2"/>
    <w:rsid w:val="00054CB0"/>
    <w:rsid w:val="000636A6"/>
    <w:rsid w:val="00065516"/>
    <w:rsid w:val="00066D36"/>
    <w:rsid w:val="0007026D"/>
    <w:rsid w:val="00071BC8"/>
    <w:rsid w:val="00071EB1"/>
    <w:rsid w:val="00073CED"/>
    <w:rsid w:val="00081542"/>
    <w:rsid w:val="00082DA0"/>
    <w:rsid w:val="0008505D"/>
    <w:rsid w:val="00085A87"/>
    <w:rsid w:val="000871EE"/>
    <w:rsid w:val="000907BC"/>
    <w:rsid w:val="00091DB8"/>
    <w:rsid w:val="00097114"/>
    <w:rsid w:val="00097147"/>
    <w:rsid w:val="000A6F6F"/>
    <w:rsid w:val="000A71BD"/>
    <w:rsid w:val="000A7506"/>
    <w:rsid w:val="000B34CC"/>
    <w:rsid w:val="000B6A2A"/>
    <w:rsid w:val="000C1766"/>
    <w:rsid w:val="000C71DC"/>
    <w:rsid w:val="000C7234"/>
    <w:rsid w:val="000D13CC"/>
    <w:rsid w:val="000D34B6"/>
    <w:rsid w:val="000D4E67"/>
    <w:rsid w:val="000D5226"/>
    <w:rsid w:val="000D54D1"/>
    <w:rsid w:val="000D715F"/>
    <w:rsid w:val="000E3D1C"/>
    <w:rsid w:val="000E7013"/>
    <w:rsid w:val="000F13CC"/>
    <w:rsid w:val="000F4FD8"/>
    <w:rsid w:val="00101EE7"/>
    <w:rsid w:val="00103B02"/>
    <w:rsid w:val="00104CD2"/>
    <w:rsid w:val="00105D3C"/>
    <w:rsid w:val="001078D4"/>
    <w:rsid w:val="00112AE1"/>
    <w:rsid w:val="0011377A"/>
    <w:rsid w:val="001208F3"/>
    <w:rsid w:val="00120ECC"/>
    <w:rsid w:val="001220AF"/>
    <w:rsid w:val="00123A3A"/>
    <w:rsid w:val="001278DD"/>
    <w:rsid w:val="00130CFD"/>
    <w:rsid w:val="00135F7D"/>
    <w:rsid w:val="001407D7"/>
    <w:rsid w:val="001472C6"/>
    <w:rsid w:val="00150A1B"/>
    <w:rsid w:val="00157136"/>
    <w:rsid w:val="0015718A"/>
    <w:rsid w:val="00163F6C"/>
    <w:rsid w:val="001656C9"/>
    <w:rsid w:val="00172C98"/>
    <w:rsid w:val="00173F15"/>
    <w:rsid w:val="00174EC9"/>
    <w:rsid w:val="00177698"/>
    <w:rsid w:val="001779E4"/>
    <w:rsid w:val="0018247B"/>
    <w:rsid w:val="00182626"/>
    <w:rsid w:val="00187FF6"/>
    <w:rsid w:val="0019137F"/>
    <w:rsid w:val="001919AE"/>
    <w:rsid w:val="001934A8"/>
    <w:rsid w:val="00197113"/>
    <w:rsid w:val="001971BC"/>
    <w:rsid w:val="001A0926"/>
    <w:rsid w:val="001A2442"/>
    <w:rsid w:val="001A4330"/>
    <w:rsid w:val="001A54E4"/>
    <w:rsid w:val="001A749D"/>
    <w:rsid w:val="001B4448"/>
    <w:rsid w:val="001B7D2C"/>
    <w:rsid w:val="001C2760"/>
    <w:rsid w:val="001C5D79"/>
    <w:rsid w:val="001C6189"/>
    <w:rsid w:val="001D0CE6"/>
    <w:rsid w:val="001D1BF7"/>
    <w:rsid w:val="001D2C58"/>
    <w:rsid w:val="001D33D5"/>
    <w:rsid w:val="001D46B8"/>
    <w:rsid w:val="001E4A40"/>
    <w:rsid w:val="001E7310"/>
    <w:rsid w:val="001E7A9C"/>
    <w:rsid w:val="001E7F63"/>
    <w:rsid w:val="001F16B1"/>
    <w:rsid w:val="001F1A9D"/>
    <w:rsid w:val="001F3011"/>
    <w:rsid w:val="001F3E9D"/>
    <w:rsid w:val="00204A7B"/>
    <w:rsid w:val="00205B1F"/>
    <w:rsid w:val="00211A41"/>
    <w:rsid w:val="002128AA"/>
    <w:rsid w:val="0022363F"/>
    <w:rsid w:val="00223EB4"/>
    <w:rsid w:val="00225D9A"/>
    <w:rsid w:val="00225F35"/>
    <w:rsid w:val="00231418"/>
    <w:rsid w:val="00231C9D"/>
    <w:rsid w:val="00235819"/>
    <w:rsid w:val="00246F47"/>
    <w:rsid w:val="00255753"/>
    <w:rsid w:val="002557DA"/>
    <w:rsid w:val="0026692B"/>
    <w:rsid w:val="002744D6"/>
    <w:rsid w:val="00276D44"/>
    <w:rsid w:val="0028116B"/>
    <w:rsid w:val="002816F2"/>
    <w:rsid w:val="0028301C"/>
    <w:rsid w:val="00283488"/>
    <w:rsid w:val="00286F03"/>
    <w:rsid w:val="0029794C"/>
    <w:rsid w:val="002A0F4A"/>
    <w:rsid w:val="002A2D03"/>
    <w:rsid w:val="002A5334"/>
    <w:rsid w:val="002B066B"/>
    <w:rsid w:val="002B3947"/>
    <w:rsid w:val="002B5ED0"/>
    <w:rsid w:val="002B6826"/>
    <w:rsid w:val="002C2B24"/>
    <w:rsid w:val="002C42AC"/>
    <w:rsid w:val="002C6653"/>
    <w:rsid w:val="002D59FB"/>
    <w:rsid w:val="002E2CF2"/>
    <w:rsid w:val="002E5F75"/>
    <w:rsid w:val="002E79C4"/>
    <w:rsid w:val="002F66AD"/>
    <w:rsid w:val="002F74F1"/>
    <w:rsid w:val="002F7C69"/>
    <w:rsid w:val="00300475"/>
    <w:rsid w:val="0030137B"/>
    <w:rsid w:val="00302D78"/>
    <w:rsid w:val="00303F73"/>
    <w:rsid w:val="00311660"/>
    <w:rsid w:val="00313E9A"/>
    <w:rsid w:val="003140DA"/>
    <w:rsid w:val="0031614F"/>
    <w:rsid w:val="0032043C"/>
    <w:rsid w:val="0032139E"/>
    <w:rsid w:val="00321B8E"/>
    <w:rsid w:val="00322A6F"/>
    <w:rsid w:val="003246A0"/>
    <w:rsid w:val="00340F6A"/>
    <w:rsid w:val="00341A23"/>
    <w:rsid w:val="00343460"/>
    <w:rsid w:val="00343C1F"/>
    <w:rsid w:val="003442D2"/>
    <w:rsid w:val="0034560A"/>
    <w:rsid w:val="00346705"/>
    <w:rsid w:val="0035008F"/>
    <w:rsid w:val="00350634"/>
    <w:rsid w:val="00354802"/>
    <w:rsid w:val="00354E36"/>
    <w:rsid w:val="00357F1D"/>
    <w:rsid w:val="00360386"/>
    <w:rsid w:val="00371F88"/>
    <w:rsid w:val="00375686"/>
    <w:rsid w:val="00377230"/>
    <w:rsid w:val="00380B66"/>
    <w:rsid w:val="0038180F"/>
    <w:rsid w:val="00383A7B"/>
    <w:rsid w:val="00385525"/>
    <w:rsid w:val="00390ACA"/>
    <w:rsid w:val="00391B0A"/>
    <w:rsid w:val="0039462B"/>
    <w:rsid w:val="00396E99"/>
    <w:rsid w:val="003A09DF"/>
    <w:rsid w:val="003A11DB"/>
    <w:rsid w:val="003A658E"/>
    <w:rsid w:val="003B6453"/>
    <w:rsid w:val="003C3B06"/>
    <w:rsid w:val="003C5900"/>
    <w:rsid w:val="003C7798"/>
    <w:rsid w:val="003D3929"/>
    <w:rsid w:val="003D72D0"/>
    <w:rsid w:val="003E2583"/>
    <w:rsid w:val="003E601B"/>
    <w:rsid w:val="003F0EA2"/>
    <w:rsid w:val="003F0FFA"/>
    <w:rsid w:val="003F20CF"/>
    <w:rsid w:val="003F2541"/>
    <w:rsid w:val="003F4C78"/>
    <w:rsid w:val="003F7749"/>
    <w:rsid w:val="003F7ED2"/>
    <w:rsid w:val="003F7FCB"/>
    <w:rsid w:val="00410B6C"/>
    <w:rsid w:val="00411062"/>
    <w:rsid w:val="004169D0"/>
    <w:rsid w:val="004178D9"/>
    <w:rsid w:val="00421F41"/>
    <w:rsid w:val="00424818"/>
    <w:rsid w:val="00431D06"/>
    <w:rsid w:val="0043370A"/>
    <w:rsid w:val="00433EDE"/>
    <w:rsid w:val="00435F78"/>
    <w:rsid w:val="00444570"/>
    <w:rsid w:val="004446EE"/>
    <w:rsid w:val="00450CB2"/>
    <w:rsid w:val="0045688B"/>
    <w:rsid w:val="004568F5"/>
    <w:rsid w:val="00457D46"/>
    <w:rsid w:val="00457E81"/>
    <w:rsid w:val="00462ABC"/>
    <w:rsid w:val="0046349E"/>
    <w:rsid w:val="00464720"/>
    <w:rsid w:val="004712DE"/>
    <w:rsid w:val="0047424C"/>
    <w:rsid w:val="004748AC"/>
    <w:rsid w:val="00474BF8"/>
    <w:rsid w:val="004760A7"/>
    <w:rsid w:val="004767AB"/>
    <w:rsid w:val="00476A32"/>
    <w:rsid w:val="00476ABB"/>
    <w:rsid w:val="00481EF7"/>
    <w:rsid w:val="004873C4"/>
    <w:rsid w:val="00492688"/>
    <w:rsid w:val="00493641"/>
    <w:rsid w:val="004955EB"/>
    <w:rsid w:val="004979D8"/>
    <w:rsid w:val="004A2F24"/>
    <w:rsid w:val="004A68A9"/>
    <w:rsid w:val="004B1430"/>
    <w:rsid w:val="004B187F"/>
    <w:rsid w:val="004B7F0E"/>
    <w:rsid w:val="004C6244"/>
    <w:rsid w:val="004C66CC"/>
    <w:rsid w:val="004D148B"/>
    <w:rsid w:val="004D29BB"/>
    <w:rsid w:val="004D3270"/>
    <w:rsid w:val="004D3947"/>
    <w:rsid w:val="004D4BFE"/>
    <w:rsid w:val="004D5EB0"/>
    <w:rsid w:val="004F1A14"/>
    <w:rsid w:val="004F279E"/>
    <w:rsid w:val="004F5162"/>
    <w:rsid w:val="004F6E8F"/>
    <w:rsid w:val="00503602"/>
    <w:rsid w:val="00503EB0"/>
    <w:rsid w:val="005079AC"/>
    <w:rsid w:val="00507CDA"/>
    <w:rsid w:val="00513228"/>
    <w:rsid w:val="005147A7"/>
    <w:rsid w:val="00516268"/>
    <w:rsid w:val="00516603"/>
    <w:rsid w:val="00516A71"/>
    <w:rsid w:val="00520880"/>
    <w:rsid w:val="0052172E"/>
    <w:rsid w:val="00522A40"/>
    <w:rsid w:val="00525BF1"/>
    <w:rsid w:val="005329C0"/>
    <w:rsid w:val="005343A3"/>
    <w:rsid w:val="0053563C"/>
    <w:rsid w:val="005356F4"/>
    <w:rsid w:val="00535D7E"/>
    <w:rsid w:val="00536FAC"/>
    <w:rsid w:val="00537297"/>
    <w:rsid w:val="00540809"/>
    <w:rsid w:val="00542D84"/>
    <w:rsid w:val="005520FE"/>
    <w:rsid w:val="00554C37"/>
    <w:rsid w:val="00556651"/>
    <w:rsid w:val="00561142"/>
    <w:rsid w:val="00564BB9"/>
    <w:rsid w:val="0056562B"/>
    <w:rsid w:val="00565952"/>
    <w:rsid w:val="005716A7"/>
    <w:rsid w:val="00571D24"/>
    <w:rsid w:val="0057620C"/>
    <w:rsid w:val="005825BD"/>
    <w:rsid w:val="00583B3C"/>
    <w:rsid w:val="005849F3"/>
    <w:rsid w:val="005904A1"/>
    <w:rsid w:val="0059369C"/>
    <w:rsid w:val="0059711F"/>
    <w:rsid w:val="005971C7"/>
    <w:rsid w:val="00597623"/>
    <w:rsid w:val="005A0FA3"/>
    <w:rsid w:val="005A38D3"/>
    <w:rsid w:val="005A4EEC"/>
    <w:rsid w:val="005A723F"/>
    <w:rsid w:val="005A7ED6"/>
    <w:rsid w:val="005B7ECC"/>
    <w:rsid w:val="005C0531"/>
    <w:rsid w:val="005C5309"/>
    <w:rsid w:val="005D11D0"/>
    <w:rsid w:val="005D2067"/>
    <w:rsid w:val="005D5642"/>
    <w:rsid w:val="005D7EB0"/>
    <w:rsid w:val="005E1FAE"/>
    <w:rsid w:val="005E7EE4"/>
    <w:rsid w:val="005E7F43"/>
    <w:rsid w:val="005F2C15"/>
    <w:rsid w:val="005F65FD"/>
    <w:rsid w:val="005F6F01"/>
    <w:rsid w:val="006063E8"/>
    <w:rsid w:val="00610C44"/>
    <w:rsid w:val="0061507F"/>
    <w:rsid w:val="00615C90"/>
    <w:rsid w:val="00617465"/>
    <w:rsid w:val="00621D28"/>
    <w:rsid w:val="00623F7B"/>
    <w:rsid w:val="00624727"/>
    <w:rsid w:val="00625958"/>
    <w:rsid w:val="00627C72"/>
    <w:rsid w:val="00632829"/>
    <w:rsid w:val="006358CE"/>
    <w:rsid w:val="006471C3"/>
    <w:rsid w:val="00651471"/>
    <w:rsid w:val="00652A32"/>
    <w:rsid w:val="00652F41"/>
    <w:rsid w:val="006533BF"/>
    <w:rsid w:val="00653869"/>
    <w:rsid w:val="00653CAA"/>
    <w:rsid w:val="006558D1"/>
    <w:rsid w:val="00656948"/>
    <w:rsid w:val="00660D56"/>
    <w:rsid w:val="0066113A"/>
    <w:rsid w:val="00661D2F"/>
    <w:rsid w:val="006625A1"/>
    <w:rsid w:val="00664EEE"/>
    <w:rsid w:val="00665123"/>
    <w:rsid w:val="00665BC7"/>
    <w:rsid w:val="00666A00"/>
    <w:rsid w:val="00666CD4"/>
    <w:rsid w:val="00667E8C"/>
    <w:rsid w:val="00670712"/>
    <w:rsid w:val="00672BC0"/>
    <w:rsid w:val="00673AB5"/>
    <w:rsid w:val="00677962"/>
    <w:rsid w:val="0068316F"/>
    <w:rsid w:val="00685218"/>
    <w:rsid w:val="00694D20"/>
    <w:rsid w:val="006A27D5"/>
    <w:rsid w:val="006A438D"/>
    <w:rsid w:val="006A5AD1"/>
    <w:rsid w:val="006A7494"/>
    <w:rsid w:val="006B4095"/>
    <w:rsid w:val="006B7141"/>
    <w:rsid w:val="006C12B4"/>
    <w:rsid w:val="006C2A44"/>
    <w:rsid w:val="006C4006"/>
    <w:rsid w:val="006C4AC3"/>
    <w:rsid w:val="006C5744"/>
    <w:rsid w:val="006C5F8B"/>
    <w:rsid w:val="006D0ECF"/>
    <w:rsid w:val="006D5DA7"/>
    <w:rsid w:val="006E0B3E"/>
    <w:rsid w:val="006E4938"/>
    <w:rsid w:val="006E50D7"/>
    <w:rsid w:val="006E5FC0"/>
    <w:rsid w:val="006E74CD"/>
    <w:rsid w:val="006F1304"/>
    <w:rsid w:val="006F3AA0"/>
    <w:rsid w:val="006F4B69"/>
    <w:rsid w:val="007005A8"/>
    <w:rsid w:val="00700BD2"/>
    <w:rsid w:val="00701DD4"/>
    <w:rsid w:val="00704581"/>
    <w:rsid w:val="00706389"/>
    <w:rsid w:val="00707EDA"/>
    <w:rsid w:val="007108C4"/>
    <w:rsid w:val="00711A45"/>
    <w:rsid w:val="007126AD"/>
    <w:rsid w:val="00714FDE"/>
    <w:rsid w:val="007152AB"/>
    <w:rsid w:val="00717650"/>
    <w:rsid w:val="00721831"/>
    <w:rsid w:val="00723BEB"/>
    <w:rsid w:val="0072647E"/>
    <w:rsid w:val="00727C1F"/>
    <w:rsid w:val="00731659"/>
    <w:rsid w:val="00733D44"/>
    <w:rsid w:val="007349DE"/>
    <w:rsid w:val="00737C33"/>
    <w:rsid w:val="007458D8"/>
    <w:rsid w:val="0074646E"/>
    <w:rsid w:val="007574AE"/>
    <w:rsid w:val="0075767A"/>
    <w:rsid w:val="00766314"/>
    <w:rsid w:val="00772A83"/>
    <w:rsid w:val="0077397F"/>
    <w:rsid w:val="00773D1F"/>
    <w:rsid w:val="00775794"/>
    <w:rsid w:val="00781589"/>
    <w:rsid w:val="007827F7"/>
    <w:rsid w:val="007934B7"/>
    <w:rsid w:val="00797F43"/>
    <w:rsid w:val="007A28DC"/>
    <w:rsid w:val="007A3B41"/>
    <w:rsid w:val="007A64F9"/>
    <w:rsid w:val="007B1CE6"/>
    <w:rsid w:val="007B4570"/>
    <w:rsid w:val="007B7D93"/>
    <w:rsid w:val="007C4420"/>
    <w:rsid w:val="007C6229"/>
    <w:rsid w:val="007C76B0"/>
    <w:rsid w:val="007D082E"/>
    <w:rsid w:val="007D21D8"/>
    <w:rsid w:val="007D2407"/>
    <w:rsid w:val="007D33B1"/>
    <w:rsid w:val="007D70BA"/>
    <w:rsid w:val="007E1515"/>
    <w:rsid w:val="007E654A"/>
    <w:rsid w:val="007F1ABE"/>
    <w:rsid w:val="007F3C08"/>
    <w:rsid w:val="00807415"/>
    <w:rsid w:val="00810457"/>
    <w:rsid w:val="00815BA3"/>
    <w:rsid w:val="0081608B"/>
    <w:rsid w:val="00840F95"/>
    <w:rsid w:val="00843FBB"/>
    <w:rsid w:val="00846C8B"/>
    <w:rsid w:val="00847680"/>
    <w:rsid w:val="0084784A"/>
    <w:rsid w:val="00850066"/>
    <w:rsid w:val="00851870"/>
    <w:rsid w:val="00853F9A"/>
    <w:rsid w:val="00862364"/>
    <w:rsid w:val="00863140"/>
    <w:rsid w:val="00864455"/>
    <w:rsid w:val="00866BBB"/>
    <w:rsid w:val="0087731E"/>
    <w:rsid w:val="0088405B"/>
    <w:rsid w:val="008939E7"/>
    <w:rsid w:val="0089601E"/>
    <w:rsid w:val="008969F0"/>
    <w:rsid w:val="008969FD"/>
    <w:rsid w:val="008A4978"/>
    <w:rsid w:val="008A58BF"/>
    <w:rsid w:val="008A6476"/>
    <w:rsid w:val="008A7C9F"/>
    <w:rsid w:val="008B164E"/>
    <w:rsid w:val="008B2BC3"/>
    <w:rsid w:val="008B2BCE"/>
    <w:rsid w:val="008B67B3"/>
    <w:rsid w:val="008B708B"/>
    <w:rsid w:val="008B7117"/>
    <w:rsid w:val="008C10EA"/>
    <w:rsid w:val="008C27C2"/>
    <w:rsid w:val="008C44C1"/>
    <w:rsid w:val="008C4E0E"/>
    <w:rsid w:val="008D0D17"/>
    <w:rsid w:val="008D3D25"/>
    <w:rsid w:val="008E1E99"/>
    <w:rsid w:val="008E2A47"/>
    <w:rsid w:val="008E5CD0"/>
    <w:rsid w:val="008E6028"/>
    <w:rsid w:val="008E6F01"/>
    <w:rsid w:val="008E7DBA"/>
    <w:rsid w:val="008E7F6C"/>
    <w:rsid w:val="008F032E"/>
    <w:rsid w:val="008F0BA9"/>
    <w:rsid w:val="008F63C8"/>
    <w:rsid w:val="008F7101"/>
    <w:rsid w:val="00905C96"/>
    <w:rsid w:val="00907C45"/>
    <w:rsid w:val="00911CE3"/>
    <w:rsid w:val="009137DB"/>
    <w:rsid w:val="009153B5"/>
    <w:rsid w:val="009164D0"/>
    <w:rsid w:val="009169E1"/>
    <w:rsid w:val="0092269F"/>
    <w:rsid w:val="0092271D"/>
    <w:rsid w:val="0092502C"/>
    <w:rsid w:val="00925F0E"/>
    <w:rsid w:val="00930597"/>
    <w:rsid w:val="0093537E"/>
    <w:rsid w:val="00946602"/>
    <w:rsid w:val="009472CC"/>
    <w:rsid w:val="0095448F"/>
    <w:rsid w:val="009552FC"/>
    <w:rsid w:val="009553EC"/>
    <w:rsid w:val="00960670"/>
    <w:rsid w:val="00963661"/>
    <w:rsid w:val="00963A83"/>
    <w:rsid w:val="009649EE"/>
    <w:rsid w:val="00965594"/>
    <w:rsid w:val="0096724E"/>
    <w:rsid w:val="00972DC1"/>
    <w:rsid w:val="00973F0B"/>
    <w:rsid w:val="00975C50"/>
    <w:rsid w:val="0097629C"/>
    <w:rsid w:val="00993D0F"/>
    <w:rsid w:val="00993EA7"/>
    <w:rsid w:val="009955FE"/>
    <w:rsid w:val="009A0889"/>
    <w:rsid w:val="009A593E"/>
    <w:rsid w:val="009A79CB"/>
    <w:rsid w:val="009B51AA"/>
    <w:rsid w:val="009C5135"/>
    <w:rsid w:val="009D123D"/>
    <w:rsid w:val="009D2874"/>
    <w:rsid w:val="009E6960"/>
    <w:rsid w:val="009F0389"/>
    <w:rsid w:val="009F2146"/>
    <w:rsid w:val="009F21B6"/>
    <w:rsid w:val="009F2349"/>
    <w:rsid w:val="009F50F5"/>
    <w:rsid w:val="009F5196"/>
    <w:rsid w:val="009F563D"/>
    <w:rsid w:val="009F6462"/>
    <w:rsid w:val="009F7143"/>
    <w:rsid w:val="009F79B5"/>
    <w:rsid w:val="00A015ED"/>
    <w:rsid w:val="00A02549"/>
    <w:rsid w:val="00A0465C"/>
    <w:rsid w:val="00A04CE5"/>
    <w:rsid w:val="00A06545"/>
    <w:rsid w:val="00A079AA"/>
    <w:rsid w:val="00A079F9"/>
    <w:rsid w:val="00A1212B"/>
    <w:rsid w:val="00A211A1"/>
    <w:rsid w:val="00A21CCC"/>
    <w:rsid w:val="00A25026"/>
    <w:rsid w:val="00A27109"/>
    <w:rsid w:val="00A33823"/>
    <w:rsid w:val="00A36643"/>
    <w:rsid w:val="00A3671F"/>
    <w:rsid w:val="00A37F4F"/>
    <w:rsid w:val="00A4535F"/>
    <w:rsid w:val="00A45CFE"/>
    <w:rsid w:val="00A541A4"/>
    <w:rsid w:val="00A60075"/>
    <w:rsid w:val="00A602E1"/>
    <w:rsid w:val="00A70722"/>
    <w:rsid w:val="00A72812"/>
    <w:rsid w:val="00A75E7F"/>
    <w:rsid w:val="00A83BAA"/>
    <w:rsid w:val="00A8496E"/>
    <w:rsid w:val="00A94A92"/>
    <w:rsid w:val="00A95140"/>
    <w:rsid w:val="00AA02AF"/>
    <w:rsid w:val="00AA046D"/>
    <w:rsid w:val="00AA07CF"/>
    <w:rsid w:val="00AA4F8B"/>
    <w:rsid w:val="00AA6691"/>
    <w:rsid w:val="00AB17F8"/>
    <w:rsid w:val="00AB282E"/>
    <w:rsid w:val="00AB2F0E"/>
    <w:rsid w:val="00AB7184"/>
    <w:rsid w:val="00AC31F0"/>
    <w:rsid w:val="00AD3E83"/>
    <w:rsid w:val="00AD4008"/>
    <w:rsid w:val="00AE3A02"/>
    <w:rsid w:val="00AF283B"/>
    <w:rsid w:val="00B04868"/>
    <w:rsid w:val="00B13151"/>
    <w:rsid w:val="00B17BB8"/>
    <w:rsid w:val="00B2596F"/>
    <w:rsid w:val="00B266B2"/>
    <w:rsid w:val="00B305EA"/>
    <w:rsid w:val="00B32A47"/>
    <w:rsid w:val="00B3328B"/>
    <w:rsid w:val="00B34A96"/>
    <w:rsid w:val="00B3597D"/>
    <w:rsid w:val="00B361D2"/>
    <w:rsid w:val="00B41DEC"/>
    <w:rsid w:val="00B43B81"/>
    <w:rsid w:val="00B43BB3"/>
    <w:rsid w:val="00B47193"/>
    <w:rsid w:val="00B53674"/>
    <w:rsid w:val="00B56AC8"/>
    <w:rsid w:val="00B60985"/>
    <w:rsid w:val="00B624E9"/>
    <w:rsid w:val="00B6510B"/>
    <w:rsid w:val="00B65719"/>
    <w:rsid w:val="00B67678"/>
    <w:rsid w:val="00B67B55"/>
    <w:rsid w:val="00B71274"/>
    <w:rsid w:val="00B721BD"/>
    <w:rsid w:val="00B75E9F"/>
    <w:rsid w:val="00B761C3"/>
    <w:rsid w:val="00B766AB"/>
    <w:rsid w:val="00B770C4"/>
    <w:rsid w:val="00B776D3"/>
    <w:rsid w:val="00B857B5"/>
    <w:rsid w:val="00B879AB"/>
    <w:rsid w:val="00B9029F"/>
    <w:rsid w:val="00B9243E"/>
    <w:rsid w:val="00B96570"/>
    <w:rsid w:val="00BA18E1"/>
    <w:rsid w:val="00BA2328"/>
    <w:rsid w:val="00BA3AA4"/>
    <w:rsid w:val="00BA4E07"/>
    <w:rsid w:val="00BA5E16"/>
    <w:rsid w:val="00BA6BC7"/>
    <w:rsid w:val="00BC15AA"/>
    <w:rsid w:val="00BD0492"/>
    <w:rsid w:val="00BD0A0E"/>
    <w:rsid w:val="00BD0C71"/>
    <w:rsid w:val="00BD1B1F"/>
    <w:rsid w:val="00BD4B0D"/>
    <w:rsid w:val="00BE3535"/>
    <w:rsid w:val="00BE6B3E"/>
    <w:rsid w:val="00BF1EC1"/>
    <w:rsid w:val="00BF2047"/>
    <w:rsid w:val="00BF2A9C"/>
    <w:rsid w:val="00BF591C"/>
    <w:rsid w:val="00C039E6"/>
    <w:rsid w:val="00C059A4"/>
    <w:rsid w:val="00C074E8"/>
    <w:rsid w:val="00C07689"/>
    <w:rsid w:val="00C1215B"/>
    <w:rsid w:val="00C1359C"/>
    <w:rsid w:val="00C137D4"/>
    <w:rsid w:val="00C178D3"/>
    <w:rsid w:val="00C17D8F"/>
    <w:rsid w:val="00C22745"/>
    <w:rsid w:val="00C24C30"/>
    <w:rsid w:val="00C300A1"/>
    <w:rsid w:val="00C378AF"/>
    <w:rsid w:val="00C439F1"/>
    <w:rsid w:val="00C43EF9"/>
    <w:rsid w:val="00C50278"/>
    <w:rsid w:val="00C52E84"/>
    <w:rsid w:val="00C53600"/>
    <w:rsid w:val="00C56CCD"/>
    <w:rsid w:val="00C57FA9"/>
    <w:rsid w:val="00C57FE7"/>
    <w:rsid w:val="00C63472"/>
    <w:rsid w:val="00C64022"/>
    <w:rsid w:val="00C66B5E"/>
    <w:rsid w:val="00C70DE8"/>
    <w:rsid w:val="00C805C3"/>
    <w:rsid w:val="00C81491"/>
    <w:rsid w:val="00C83C2D"/>
    <w:rsid w:val="00C90F8F"/>
    <w:rsid w:val="00C96B52"/>
    <w:rsid w:val="00CA08BF"/>
    <w:rsid w:val="00CA2E1F"/>
    <w:rsid w:val="00CA44E0"/>
    <w:rsid w:val="00CA532B"/>
    <w:rsid w:val="00CB4CD7"/>
    <w:rsid w:val="00CB4DEB"/>
    <w:rsid w:val="00CC44D2"/>
    <w:rsid w:val="00CC6EBF"/>
    <w:rsid w:val="00CD0531"/>
    <w:rsid w:val="00CD0AFB"/>
    <w:rsid w:val="00CD3395"/>
    <w:rsid w:val="00CD37BF"/>
    <w:rsid w:val="00CD3BAB"/>
    <w:rsid w:val="00CD6017"/>
    <w:rsid w:val="00CE003E"/>
    <w:rsid w:val="00CE2501"/>
    <w:rsid w:val="00CE5A93"/>
    <w:rsid w:val="00CE661A"/>
    <w:rsid w:val="00CE6E6F"/>
    <w:rsid w:val="00CE7248"/>
    <w:rsid w:val="00CF09B0"/>
    <w:rsid w:val="00CF55D3"/>
    <w:rsid w:val="00CF5621"/>
    <w:rsid w:val="00CF7966"/>
    <w:rsid w:val="00CF7F2D"/>
    <w:rsid w:val="00D05719"/>
    <w:rsid w:val="00D06076"/>
    <w:rsid w:val="00D14E90"/>
    <w:rsid w:val="00D169F2"/>
    <w:rsid w:val="00D26FE3"/>
    <w:rsid w:val="00D35589"/>
    <w:rsid w:val="00D35D8E"/>
    <w:rsid w:val="00D35F11"/>
    <w:rsid w:val="00D36F38"/>
    <w:rsid w:val="00D377CB"/>
    <w:rsid w:val="00D4000A"/>
    <w:rsid w:val="00D408C6"/>
    <w:rsid w:val="00D45964"/>
    <w:rsid w:val="00D45F31"/>
    <w:rsid w:val="00D46506"/>
    <w:rsid w:val="00D47792"/>
    <w:rsid w:val="00D50BC9"/>
    <w:rsid w:val="00D51AD8"/>
    <w:rsid w:val="00D55386"/>
    <w:rsid w:val="00D60144"/>
    <w:rsid w:val="00D61A33"/>
    <w:rsid w:val="00D61E2A"/>
    <w:rsid w:val="00D6530C"/>
    <w:rsid w:val="00D673FD"/>
    <w:rsid w:val="00D67C43"/>
    <w:rsid w:val="00D7104E"/>
    <w:rsid w:val="00D74C71"/>
    <w:rsid w:val="00D772F0"/>
    <w:rsid w:val="00D77D62"/>
    <w:rsid w:val="00D8052F"/>
    <w:rsid w:val="00D810D4"/>
    <w:rsid w:val="00D855CA"/>
    <w:rsid w:val="00D856E1"/>
    <w:rsid w:val="00D93FD5"/>
    <w:rsid w:val="00D9485D"/>
    <w:rsid w:val="00D951A9"/>
    <w:rsid w:val="00DA0200"/>
    <w:rsid w:val="00DA0A86"/>
    <w:rsid w:val="00DB3012"/>
    <w:rsid w:val="00DB6C33"/>
    <w:rsid w:val="00DB7418"/>
    <w:rsid w:val="00DC700A"/>
    <w:rsid w:val="00DC7616"/>
    <w:rsid w:val="00DD444F"/>
    <w:rsid w:val="00DD5741"/>
    <w:rsid w:val="00DE0DE9"/>
    <w:rsid w:val="00DE2EF8"/>
    <w:rsid w:val="00DE5A8E"/>
    <w:rsid w:val="00DF37CE"/>
    <w:rsid w:val="00DF4F2F"/>
    <w:rsid w:val="00E07452"/>
    <w:rsid w:val="00E11750"/>
    <w:rsid w:val="00E162F7"/>
    <w:rsid w:val="00E16331"/>
    <w:rsid w:val="00E20DF8"/>
    <w:rsid w:val="00E212A9"/>
    <w:rsid w:val="00E24A28"/>
    <w:rsid w:val="00E25B38"/>
    <w:rsid w:val="00E40E41"/>
    <w:rsid w:val="00E42316"/>
    <w:rsid w:val="00E433ED"/>
    <w:rsid w:val="00E44C1C"/>
    <w:rsid w:val="00E45FF4"/>
    <w:rsid w:val="00E4625F"/>
    <w:rsid w:val="00E52815"/>
    <w:rsid w:val="00E53E13"/>
    <w:rsid w:val="00E57A59"/>
    <w:rsid w:val="00E626FE"/>
    <w:rsid w:val="00E62E59"/>
    <w:rsid w:val="00E6514C"/>
    <w:rsid w:val="00E6544B"/>
    <w:rsid w:val="00E67571"/>
    <w:rsid w:val="00E67C42"/>
    <w:rsid w:val="00E70D3D"/>
    <w:rsid w:val="00E71CBD"/>
    <w:rsid w:val="00E77CDF"/>
    <w:rsid w:val="00E858FB"/>
    <w:rsid w:val="00E860AB"/>
    <w:rsid w:val="00E911AC"/>
    <w:rsid w:val="00E94C0E"/>
    <w:rsid w:val="00E97306"/>
    <w:rsid w:val="00EA7069"/>
    <w:rsid w:val="00EB37A9"/>
    <w:rsid w:val="00EB7F6B"/>
    <w:rsid w:val="00EC1B70"/>
    <w:rsid w:val="00EC270B"/>
    <w:rsid w:val="00EC403B"/>
    <w:rsid w:val="00EC547A"/>
    <w:rsid w:val="00EC5B72"/>
    <w:rsid w:val="00ED25F2"/>
    <w:rsid w:val="00ED3B8B"/>
    <w:rsid w:val="00ED43D3"/>
    <w:rsid w:val="00ED5721"/>
    <w:rsid w:val="00EE07A7"/>
    <w:rsid w:val="00EE1B9E"/>
    <w:rsid w:val="00EE647B"/>
    <w:rsid w:val="00F07134"/>
    <w:rsid w:val="00F10C3B"/>
    <w:rsid w:val="00F16A0E"/>
    <w:rsid w:val="00F1781E"/>
    <w:rsid w:val="00F17A66"/>
    <w:rsid w:val="00F20A01"/>
    <w:rsid w:val="00F253E4"/>
    <w:rsid w:val="00F25B66"/>
    <w:rsid w:val="00F32749"/>
    <w:rsid w:val="00F36220"/>
    <w:rsid w:val="00F36549"/>
    <w:rsid w:val="00F42B14"/>
    <w:rsid w:val="00F51054"/>
    <w:rsid w:val="00F53A3D"/>
    <w:rsid w:val="00F60EAE"/>
    <w:rsid w:val="00F629C7"/>
    <w:rsid w:val="00F65203"/>
    <w:rsid w:val="00F70DDB"/>
    <w:rsid w:val="00F72635"/>
    <w:rsid w:val="00F72B49"/>
    <w:rsid w:val="00F8464F"/>
    <w:rsid w:val="00F87047"/>
    <w:rsid w:val="00F873AC"/>
    <w:rsid w:val="00F87C6E"/>
    <w:rsid w:val="00F91BFC"/>
    <w:rsid w:val="00F9684B"/>
    <w:rsid w:val="00FA1723"/>
    <w:rsid w:val="00FA1BAB"/>
    <w:rsid w:val="00FA22A9"/>
    <w:rsid w:val="00FA26FB"/>
    <w:rsid w:val="00FA35AA"/>
    <w:rsid w:val="00FA3999"/>
    <w:rsid w:val="00FA55FE"/>
    <w:rsid w:val="00FA656E"/>
    <w:rsid w:val="00FB2101"/>
    <w:rsid w:val="00FB3A41"/>
    <w:rsid w:val="00FB4FD8"/>
    <w:rsid w:val="00FB596B"/>
    <w:rsid w:val="00FC0EDF"/>
    <w:rsid w:val="00FC23E6"/>
    <w:rsid w:val="00FC403A"/>
    <w:rsid w:val="00FC4F89"/>
    <w:rsid w:val="00FD14D4"/>
    <w:rsid w:val="00FD2F6E"/>
    <w:rsid w:val="00FD39D3"/>
    <w:rsid w:val="00FD39E5"/>
    <w:rsid w:val="00FD59D3"/>
    <w:rsid w:val="00FD6B10"/>
    <w:rsid w:val="00FF14B4"/>
    <w:rsid w:val="00FF1C4B"/>
    <w:rsid w:val="00FF21C0"/>
    <w:rsid w:val="00FF425B"/>
    <w:rsid w:val="00FF47D5"/>
    <w:rsid w:val="00FF7F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BAB6036-9C8F-4633-ACFA-01399436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D61E2A"/>
    <w:pPr>
      <w:keepNext/>
      <w:outlineLvl w:val="0"/>
    </w:pPr>
    <w:rPr>
      <w:rFonts w:ascii="Arial" w:hAnsi="Arial"/>
      <w:b/>
      <w:bCs/>
      <w:sz w:val="28"/>
    </w:rPr>
  </w:style>
  <w:style w:type="paragraph" w:styleId="Ttulo2">
    <w:name w:val="heading 2"/>
    <w:basedOn w:val="Normal"/>
    <w:next w:val="Normal"/>
    <w:link w:val="Ttulo2Car"/>
    <w:uiPriority w:val="9"/>
    <w:unhideWhenUsed/>
    <w:qFormat/>
    <w:rsid w:val="00D61E2A"/>
    <w:pPr>
      <w:keepNext/>
      <w:keepLines/>
      <w:spacing w:before="40"/>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5904A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rPr>
      <w:sz w:val="20"/>
      <w:szCs w:val="20"/>
    </w:rPr>
  </w:style>
  <w:style w:type="character" w:styleId="Refdenotaalpie">
    <w:name w:val="footnote reference"/>
    <w:basedOn w:val="Fuentedeprrafopredeter"/>
    <w:uiPriority w:val="99"/>
    <w:qFormat/>
    <w:rPr>
      <w:vertAlign w:val="superscript"/>
    </w:rPr>
  </w:style>
  <w:style w:type="paragraph" w:styleId="Descripcin">
    <w:name w:val="caption"/>
    <w:basedOn w:val="Normal"/>
    <w:next w:val="Normal"/>
    <w:uiPriority w:val="35"/>
    <w:qFormat/>
    <w:rPr>
      <w:b/>
      <w:bCs/>
      <w:sz w:val="20"/>
      <w:szCs w:val="20"/>
    </w:rPr>
  </w:style>
  <w:style w:type="paragraph" w:styleId="Textoindependiente">
    <w:name w:val="Body Text"/>
    <w:basedOn w:val="Normal"/>
    <w:semiHidden/>
    <w:pPr>
      <w:spacing w:line="360" w:lineRule="auto"/>
      <w:jc w:val="both"/>
    </w:pPr>
  </w:style>
  <w:style w:type="paragraph" w:styleId="Prrafodelista">
    <w:name w:val="List Paragraph"/>
    <w:basedOn w:val="Normal"/>
    <w:uiPriority w:val="34"/>
    <w:qFormat/>
    <w:rsid w:val="004955EB"/>
    <w:pPr>
      <w:ind w:left="720"/>
      <w:contextualSpacing/>
    </w:pPr>
  </w:style>
  <w:style w:type="paragraph" w:styleId="Encabezado">
    <w:name w:val="header"/>
    <w:basedOn w:val="Normal"/>
    <w:link w:val="EncabezadoCar"/>
    <w:uiPriority w:val="99"/>
    <w:unhideWhenUsed/>
    <w:rsid w:val="0028116B"/>
    <w:pPr>
      <w:tabs>
        <w:tab w:val="center" w:pos="4419"/>
        <w:tab w:val="right" w:pos="8838"/>
      </w:tabs>
    </w:pPr>
  </w:style>
  <w:style w:type="character" w:customStyle="1" w:styleId="EncabezadoCar">
    <w:name w:val="Encabezado Car"/>
    <w:basedOn w:val="Fuentedeprrafopredeter"/>
    <w:link w:val="Encabezado"/>
    <w:uiPriority w:val="99"/>
    <w:rsid w:val="0028116B"/>
    <w:rPr>
      <w:sz w:val="24"/>
      <w:szCs w:val="24"/>
      <w:lang w:val="es-ES" w:eastAsia="es-ES"/>
    </w:rPr>
  </w:style>
  <w:style w:type="paragraph" w:styleId="Piedepgina">
    <w:name w:val="footer"/>
    <w:basedOn w:val="Normal"/>
    <w:link w:val="PiedepginaCar"/>
    <w:uiPriority w:val="99"/>
    <w:unhideWhenUsed/>
    <w:rsid w:val="0028116B"/>
    <w:pPr>
      <w:tabs>
        <w:tab w:val="center" w:pos="4419"/>
        <w:tab w:val="right" w:pos="8838"/>
      </w:tabs>
    </w:pPr>
  </w:style>
  <w:style w:type="character" w:customStyle="1" w:styleId="PiedepginaCar">
    <w:name w:val="Pie de página Car"/>
    <w:basedOn w:val="Fuentedeprrafopredeter"/>
    <w:link w:val="Piedepgina"/>
    <w:uiPriority w:val="99"/>
    <w:rsid w:val="0028116B"/>
    <w:rPr>
      <w:sz w:val="24"/>
      <w:szCs w:val="24"/>
      <w:lang w:val="es-ES" w:eastAsia="es-ES"/>
    </w:rPr>
  </w:style>
  <w:style w:type="paragraph" w:customStyle="1" w:styleId="Estilo">
    <w:name w:val="Estilo"/>
    <w:link w:val="EstiloCar"/>
    <w:rsid w:val="0028116B"/>
    <w:pPr>
      <w:widowControl w:val="0"/>
      <w:autoSpaceDE w:val="0"/>
      <w:autoSpaceDN w:val="0"/>
      <w:adjustRightInd w:val="0"/>
    </w:pPr>
    <w:rPr>
      <w:rFonts w:ascii="Arial" w:hAnsi="Arial" w:cs="Arial"/>
      <w:sz w:val="24"/>
      <w:szCs w:val="24"/>
    </w:rPr>
  </w:style>
  <w:style w:type="character" w:customStyle="1" w:styleId="EstiloCar">
    <w:name w:val="Estilo Car"/>
    <w:basedOn w:val="Fuentedeprrafopredeter"/>
    <w:link w:val="Estilo"/>
    <w:rsid w:val="0028116B"/>
    <w:rPr>
      <w:rFonts w:ascii="Arial" w:hAnsi="Arial" w:cs="Arial"/>
      <w:sz w:val="24"/>
      <w:szCs w:val="24"/>
    </w:rPr>
  </w:style>
  <w:style w:type="character" w:styleId="Hipervnculo">
    <w:name w:val="Hyperlink"/>
    <w:basedOn w:val="Fuentedeprrafopredeter"/>
    <w:uiPriority w:val="99"/>
    <w:unhideWhenUsed/>
    <w:rsid w:val="0028116B"/>
    <w:rPr>
      <w:color w:val="0000FF"/>
      <w:u w:val="single"/>
    </w:rPr>
  </w:style>
  <w:style w:type="paragraph" w:styleId="Sinespaciado">
    <w:name w:val="No Spacing"/>
    <w:uiPriority w:val="1"/>
    <w:qFormat/>
    <w:rsid w:val="003E601B"/>
    <w:rPr>
      <w:sz w:val="24"/>
      <w:szCs w:val="24"/>
      <w:lang w:val="es-ES" w:eastAsia="es-ES"/>
    </w:rPr>
  </w:style>
  <w:style w:type="character" w:customStyle="1" w:styleId="Ttulo2Car">
    <w:name w:val="Título 2 Car"/>
    <w:basedOn w:val="Fuentedeprrafopredeter"/>
    <w:link w:val="Ttulo2"/>
    <w:uiPriority w:val="9"/>
    <w:rsid w:val="00D61E2A"/>
    <w:rPr>
      <w:rFonts w:ascii="Arial" w:eastAsiaTheme="majorEastAsia" w:hAnsi="Arial" w:cstheme="majorBidi"/>
      <w:b/>
      <w:sz w:val="26"/>
      <w:szCs w:val="26"/>
      <w:lang w:val="es-ES" w:eastAsia="es-ES"/>
    </w:rPr>
  </w:style>
  <w:style w:type="paragraph" w:customStyle="1" w:styleId="Estilo1">
    <w:name w:val="Estilo1"/>
    <w:basedOn w:val="Ttulo1"/>
    <w:link w:val="Estilo1Car"/>
    <w:qFormat/>
    <w:rsid w:val="003E601B"/>
  </w:style>
  <w:style w:type="paragraph" w:customStyle="1" w:styleId="Estilo2">
    <w:name w:val="Estilo2"/>
    <w:basedOn w:val="Estilo1"/>
    <w:link w:val="Estilo2Car"/>
    <w:qFormat/>
    <w:rsid w:val="003E601B"/>
  </w:style>
  <w:style w:type="character" w:customStyle="1" w:styleId="Ttulo1Car">
    <w:name w:val="Título 1 Car"/>
    <w:basedOn w:val="Fuentedeprrafopredeter"/>
    <w:link w:val="Ttulo1"/>
    <w:rsid w:val="00D61E2A"/>
    <w:rPr>
      <w:rFonts w:ascii="Arial" w:hAnsi="Arial"/>
      <w:b/>
      <w:bCs/>
      <w:sz w:val="28"/>
      <w:szCs w:val="24"/>
      <w:lang w:val="es-ES" w:eastAsia="es-ES"/>
    </w:rPr>
  </w:style>
  <w:style w:type="character" w:customStyle="1" w:styleId="Estilo1Car">
    <w:name w:val="Estilo1 Car"/>
    <w:basedOn w:val="Ttulo1Car"/>
    <w:link w:val="Estilo1"/>
    <w:rsid w:val="003E601B"/>
    <w:rPr>
      <w:rFonts w:ascii="Arial" w:hAnsi="Arial"/>
      <w:b/>
      <w:bCs/>
      <w:sz w:val="28"/>
      <w:szCs w:val="24"/>
      <w:lang w:val="es-ES" w:eastAsia="es-ES"/>
    </w:rPr>
  </w:style>
  <w:style w:type="paragraph" w:customStyle="1" w:styleId="Estilo3">
    <w:name w:val="Estilo3"/>
    <w:basedOn w:val="Ttulo2"/>
    <w:link w:val="Estilo3Car"/>
    <w:qFormat/>
    <w:rsid w:val="003E601B"/>
    <w:rPr>
      <w:color w:val="000000" w:themeColor="text1"/>
    </w:rPr>
  </w:style>
  <w:style w:type="character" w:customStyle="1" w:styleId="Estilo2Car">
    <w:name w:val="Estilo2 Car"/>
    <w:basedOn w:val="Estilo1Car"/>
    <w:link w:val="Estilo2"/>
    <w:rsid w:val="003E601B"/>
    <w:rPr>
      <w:rFonts w:ascii="Arial" w:hAnsi="Arial"/>
      <w:b/>
      <w:bCs/>
      <w:sz w:val="28"/>
      <w:szCs w:val="24"/>
      <w:lang w:val="es-ES" w:eastAsia="es-ES"/>
    </w:rPr>
  </w:style>
  <w:style w:type="paragraph" w:customStyle="1" w:styleId="Estilo4">
    <w:name w:val="Estilo4"/>
    <w:basedOn w:val="Estilo3"/>
    <w:link w:val="Estilo4Car"/>
    <w:qFormat/>
    <w:rsid w:val="003E601B"/>
    <w:rPr>
      <w:b w:val="0"/>
    </w:rPr>
  </w:style>
  <w:style w:type="character" w:customStyle="1" w:styleId="Estilo3Car">
    <w:name w:val="Estilo3 Car"/>
    <w:basedOn w:val="Ttulo2Car"/>
    <w:link w:val="Estilo3"/>
    <w:rsid w:val="003E601B"/>
    <w:rPr>
      <w:rFonts w:ascii="Arial" w:eastAsiaTheme="majorEastAsia" w:hAnsi="Arial" w:cstheme="majorBidi"/>
      <w:b/>
      <w:color w:val="000000" w:themeColor="text1"/>
      <w:sz w:val="26"/>
      <w:szCs w:val="26"/>
      <w:lang w:val="es-ES" w:eastAsia="es-ES"/>
    </w:rPr>
  </w:style>
  <w:style w:type="character" w:customStyle="1" w:styleId="Estilo4Car">
    <w:name w:val="Estilo4 Car"/>
    <w:basedOn w:val="Estilo3Car"/>
    <w:link w:val="Estilo4"/>
    <w:rsid w:val="003E601B"/>
    <w:rPr>
      <w:rFonts w:ascii="Arial" w:eastAsiaTheme="majorEastAsia" w:hAnsi="Arial" w:cstheme="majorBidi"/>
      <w:b w:val="0"/>
      <w:color w:val="000000" w:themeColor="text1"/>
      <w:sz w:val="26"/>
      <w:szCs w:val="26"/>
      <w:lang w:val="es-ES" w:eastAsia="es-ES"/>
    </w:rPr>
  </w:style>
  <w:style w:type="paragraph" w:styleId="TtulodeTDC">
    <w:name w:val="TOC Heading"/>
    <w:basedOn w:val="Ttulo1"/>
    <w:next w:val="Normal"/>
    <w:uiPriority w:val="39"/>
    <w:unhideWhenUsed/>
    <w:qFormat/>
    <w:rsid w:val="001E7A9C"/>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es-CR" w:eastAsia="es-CR"/>
    </w:rPr>
  </w:style>
  <w:style w:type="paragraph" w:styleId="TDC1">
    <w:name w:val="toc 1"/>
    <w:basedOn w:val="Normal"/>
    <w:next w:val="Normal"/>
    <w:autoRedefine/>
    <w:uiPriority w:val="39"/>
    <w:unhideWhenUsed/>
    <w:rsid w:val="00DC7616"/>
    <w:pPr>
      <w:tabs>
        <w:tab w:val="right" w:leader="dot" w:pos="8494"/>
      </w:tabs>
      <w:spacing w:after="100" w:line="276" w:lineRule="auto"/>
      <w:jc w:val="both"/>
    </w:pPr>
  </w:style>
  <w:style w:type="paragraph" w:styleId="TDC2">
    <w:name w:val="toc 2"/>
    <w:basedOn w:val="Normal"/>
    <w:next w:val="Normal"/>
    <w:autoRedefine/>
    <w:uiPriority w:val="39"/>
    <w:unhideWhenUsed/>
    <w:rsid w:val="001E7A9C"/>
    <w:pPr>
      <w:spacing w:after="100"/>
      <w:ind w:left="240"/>
    </w:pPr>
  </w:style>
  <w:style w:type="character" w:customStyle="1" w:styleId="Ttulo3Car">
    <w:name w:val="Título 3 Car"/>
    <w:basedOn w:val="Fuentedeprrafopredeter"/>
    <w:link w:val="Ttulo3"/>
    <w:uiPriority w:val="9"/>
    <w:rsid w:val="005904A1"/>
    <w:rPr>
      <w:rFonts w:asciiTheme="majorHAnsi" w:eastAsiaTheme="majorEastAsia" w:hAnsiTheme="majorHAnsi" w:cstheme="majorBidi"/>
      <w:color w:val="1F4D78" w:themeColor="accent1" w:themeShade="7F"/>
      <w:sz w:val="24"/>
      <w:szCs w:val="24"/>
      <w:lang w:val="es-ES" w:eastAsia="es-ES"/>
    </w:rPr>
  </w:style>
  <w:style w:type="paragraph" w:styleId="TDC3">
    <w:name w:val="toc 3"/>
    <w:basedOn w:val="Normal"/>
    <w:next w:val="Normal"/>
    <w:autoRedefine/>
    <w:uiPriority w:val="39"/>
    <w:unhideWhenUsed/>
    <w:rsid w:val="00810457"/>
    <w:pPr>
      <w:tabs>
        <w:tab w:val="right" w:leader="dot" w:pos="8494"/>
      </w:tabs>
      <w:spacing w:after="100" w:line="276" w:lineRule="auto"/>
      <w:ind w:left="480"/>
    </w:pPr>
  </w:style>
  <w:style w:type="paragraph" w:styleId="Tabladeilustraciones">
    <w:name w:val="table of figures"/>
    <w:basedOn w:val="Normal"/>
    <w:next w:val="Normal"/>
    <w:uiPriority w:val="99"/>
    <w:unhideWhenUsed/>
    <w:rsid w:val="00BE6B3E"/>
  </w:style>
  <w:style w:type="character" w:styleId="Refdecomentario">
    <w:name w:val="annotation reference"/>
    <w:basedOn w:val="Fuentedeprrafopredeter"/>
    <w:uiPriority w:val="99"/>
    <w:semiHidden/>
    <w:unhideWhenUsed/>
    <w:rsid w:val="006B7141"/>
    <w:rPr>
      <w:sz w:val="16"/>
      <w:szCs w:val="16"/>
    </w:rPr>
  </w:style>
  <w:style w:type="paragraph" w:styleId="Textocomentario">
    <w:name w:val="annotation text"/>
    <w:basedOn w:val="Normal"/>
    <w:link w:val="TextocomentarioCar"/>
    <w:uiPriority w:val="99"/>
    <w:semiHidden/>
    <w:unhideWhenUsed/>
    <w:rsid w:val="006B7141"/>
    <w:rPr>
      <w:sz w:val="20"/>
      <w:szCs w:val="20"/>
    </w:rPr>
  </w:style>
  <w:style w:type="character" w:customStyle="1" w:styleId="TextocomentarioCar">
    <w:name w:val="Texto comentario Car"/>
    <w:basedOn w:val="Fuentedeprrafopredeter"/>
    <w:link w:val="Textocomentario"/>
    <w:uiPriority w:val="99"/>
    <w:semiHidden/>
    <w:rsid w:val="006B7141"/>
    <w:rPr>
      <w:lang w:val="es-ES" w:eastAsia="es-ES"/>
    </w:rPr>
  </w:style>
  <w:style w:type="paragraph" w:styleId="Asuntodelcomentario">
    <w:name w:val="annotation subject"/>
    <w:basedOn w:val="Textocomentario"/>
    <w:next w:val="Textocomentario"/>
    <w:link w:val="AsuntodelcomentarioCar"/>
    <w:uiPriority w:val="99"/>
    <w:semiHidden/>
    <w:unhideWhenUsed/>
    <w:rsid w:val="006B7141"/>
    <w:rPr>
      <w:b/>
      <w:bCs/>
    </w:rPr>
  </w:style>
  <w:style w:type="character" w:customStyle="1" w:styleId="AsuntodelcomentarioCar">
    <w:name w:val="Asunto del comentario Car"/>
    <w:basedOn w:val="TextocomentarioCar"/>
    <w:link w:val="Asuntodelcomentario"/>
    <w:uiPriority w:val="99"/>
    <w:semiHidden/>
    <w:rsid w:val="006B7141"/>
    <w:rPr>
      <w:b/>
      <w:bCs/>
      <w:lang w:val="es-ES" w:eastAsia="es-ES"/>
    </w:rPr>
  </w:style>
  <w:style w:type="paragraph" w:styleId="Textodeglobo">
    <w:name w:val="Balloon Text"/>
    <w:basedOn w:val="Normal"/>
    <w:link w:val="TextodegloboCar"/>
    <w:uiPriority w:val="99"/>
    <w:semiHidden/>
    <w:unhideWhenUsed/>
    <w:rsid w:val="006B714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141"/>
    <w:rPr>
      <w:rFonts w:ascii="Segoe UI" w:hAnsi="Segoe UI" w:cs="Segoe UI"/>
      <w:sz w:val="18"/>
      <w:szCs w:val="18"/>
      <w:lang w:val="es-ES" w:eastAsia="es-ES"/>
    </w:rPr>
  </w:style>
  <w:style w:type="paragraph" w:styleId="NormalWeb">
    <w:name w:val="Normal (Web)"/>
    <w:basedOn w:val="Normal"/>
    <w:uiPriority w:val="99"/>
    <w:unhideWhenUsed/>
    <w:rsid w:val="000D34B6"/>
    <w:pPr>
      <w:spacing w:before="100" w:beforeAutospacing="1" w:after="100" w:afterAutospacing="1"/>
    </w:pPr>
    <w:rPr>
      <w:lang w:val="es-CR" w:eastAsia="es-CR"/>
    </w:rPr>
  </w:style>
  <w:style w:type="paragraph" w:styleId="Revisin">
    <w:name w:val="Revision"/>
    <w:hidden/>
    <w:uiPriority w:val="99"/>
    <w:semiHidden/>
    <w:rsid w:val="007D21D8"/>
    <w:rPr>
      <w:sz w:val="24"/>
      <w:szCs w:val="24"/>
      <w:lang w:val="es-ES" w:eastAsia="es-ES"/>
    </w:rPr>
  </w:style>
  <w:style w:type="table" w:styleId="Tablaconcuadrcula">
    <w:name w:val="Table Grid"/>
    <w:basedOn w:val="Tablanormal"/>
    <w:uiPriority w:val="39"/>
    <w:rsid w:val="006F4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notapieCar">
    <w:name w:val="Texto nota pie Car"/>
    <w:basedOn w:val="Fuentedeprrafopredeter"/>
    <w:link w:val="Textonotapie"/>
    <w:uiPriority w:val="99"/>
    <w:rsid w:val="001E4A40"/>
    <w:rPr>
      <w:lang w:val="es-ES" w:eastAsia="es-ES"/>
    </w:rPr>
  </w:style>
  <w:style w:type="paragraph" w:styleId="Textosinformato">
    <w:name w:val="Plain Text"/>
    <w:basedOn w:val="Normal"/>
    <w:link w:val="TextosinformatoCar"/>
    <w:uiPriority w:val="99"/>
    <w:semiHidden/>
    <w:unhideWhenUsed/>
    <w:rsid w:val="00D05719"/>
    <w:rPr>
      <w:rFonts w:ascii="Calibri" w:eastAsiaTheme="minorHAnsi" w:hAnsi="Calibri" w:cstheme="minorBidi"/>
      <w:sz w:val="22"/>
      <w:szCs w:val="21"/>
      <w:lang w:val="es-CR" w:eastAsia="en-US"/>
    </w:rPr>
  </w:style>
  <w:style w:type="character" w:customStyle="1" w:styleId="TextosinformatoCar">
    <w:name w:val="Texto sin formato Car"/>
    <w:basedOn w:val="Fuentedeprrafopredeter"/>
    <w:link w:val="Textosinformato"/>
    <w:uiPriority w:val="99"/>
    <w:semiHidden/>
    <w:rsid w:val="00D0571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08">
      <w:bodyDiv w:val="1"/>
      <w:marLeft w:val="0"/>
      <w:marRight w:val="0"/>
      <w:marTop w:val="0"/>
      <w:marBottom w:val="0"/>
      <w:divBdr>
        <w:top w:val="none" w:sz="0" w:space="0" w:color="auto"/>
        <w:left w:val="none" w:sz="0" w:space="0" w:color="auto"/>
        <w:bottom w:val="none" w:sz="0" w:space="0" w:color="auto"/>
        <w:right w:val="none" w:sz="0" w:space="0" w:color="auto"/>
      </w:divBdr>
    </w:div>
    <w:div w:id="7680524">
      <w:bodyDiv w:val="1"/>
      <w:marLeft w:val="0"/>
      <w:marRight w:val="0"/>
      <w:marTop w:val="0"/>
      <w:marBottom w:val="0"/>
      <w:divBdr>
        <w:top w:val="none" w:sz="0" w:space="0" w:color="auto"/>
        <w:left w:val="none" w:sz="0" w:space="0" w:color="auto"/>
        <w:bottom w:val="none" w:sz="0" w:space="0" w:color="auto"/>
        <w:right w:val="none" w:sz="0" w:space="0" w:color="auto"/>
      </w:divBdr>
    </w:div>
    <w:div w:id="26226618">
      <w:bodyDiv w:val="1"/>
      <w:marLeft w:val="0"/>
      <w:marRight w:val="0"/>
      <w:marTop w:val="0"/>
      <w:marBottom w:val="0"/>
      <w:divBdr>
        <w:top w:val="none" w:sz="0" w:space="0" w:color="auto"/>
        <w:left w:val="none" w:sz="0" w:space="0" w:color="auto"/>
        <w:bottom w:val="none" w:sz="0" w:space="0" w:color="auto"/>
        <w:right w:val="none" w:sz="0" w:space="0" w:color="auto"/>
      </w:divBdr>
    </w:div>
    <w:div w:id="30303059">
      <w:bodyDiv w:val="1"/>
      <w:marLeft w:val="0"/>
      <w:marRight w:val="0"/>
      <w:marTop w:val="0"/>
      <w:marBottom w:val="0"/>
      <w:divBdr>
        <w:top w:val="none" w:sz="0" w:space="0" w:color="auto"/>
        <w:left w:val="none" w:sz="0" w:space="0" w:color="auto"/>
        <w:bottom w:val="none" w:sz="0" w:space="0" w:color="auto"/>
        <w:right w:val="none" w:sz="0" w:space="0" w:color="auto"/>
      </w:divBdr>
    </w:div>
    <w:div w:id="35084907">
      <w:bodyDiv w:val="1"/>
      <w:marLeft w:val="0"/>
      <w:marRight w:val="0"/>
      <w:marTop w:val="0"/>
      <w:marBottom w:val="0"/>
      <w:divBdr>
        <w:top w:val="none" w:sz="0" w:space="0" w:color="auto"/>
        <w:left w:val="none" w:sz="0" w:space="0" w:color="auto"/>
        <w:bottom w:val="none" w:sz="0" w:space="0" w:color="auto"/>
        <w:right w:val="none" w:sz="0" w:space="0" w:color="auto"/>
      </w:divBdr>
    </w:div>
    <w:div w:id="50732628">
      <w:bodyDiv w:val="1"/>
      <w:marLeft w:val="0"/>
      <w:marRight w:val="0"/>
      <w:marTop w:val="0"/>
      <w:marBottom w:val="0"/>
      <w:divBdr>
        <w:top w:val="none" w:sz="0" w:space="0" w:color="auto"/>
        <w:left w:val="none" w:sz="0" w:space="0" w:color="auto"/>
        <w:bottom w:val="none" w:sz="0" w:space="0" w:color="auto"/>
        <w:right w:val="none" w:sz="0" w:space="0" w:color="auto"/>
      </w:divBdr>
    </w:div>
    <w:div w:id="52969542">
      <w:bodyDiv w:val="1"/>
      <w:marLeft w:val="0"/>
      <w:marRight w:val="0"/>
      <w:marTop w:val="0"/>
      <w:marBottom w:val="0"/>
      <w:divBdr>
        <w:top w:val="none" w:sz="0" w:space="0" w:color="auto"/>
        <w:left w:val="none" w:sz="0" w:space="0" w:color="auto"/>
        <w:bottom w:val="none" w:sz="0" w:space="0" w:color="auto"/>
        <w:right w:val="none" w:sz="0" w:space="0" w:color="auto"/>
      </w:divBdr>
    </w:div>
    <w:div w:id="58989190">
      <w:bodyDiv w:val="1"/>
      <w:marLeft w:val="0"/>
      <w:marRight w:val="0"/>
      <w:marTop w:val="0"/>
      <w:marBottom w:val="0"/>
      <w:divBdr>
        <w:top w:val="none" w:sz="0" w:space="0" w:color="auto"/>
        <w:left w:val="none" w:sz="0" w:space="0" w:color="auto"/>
        <w:bottom w:val="none" w:sz="0" w:space="0" w:color="auto"/>
        <w:right w:val="none" w:sz="0" w:space="0" w:color="auto"/>
      </w:divBdr>
    </w:div>
    <w:div w:id="209851661">
      <w:bodyDiv w:val="1"/>
      <w:marLeft w:val="0"/>
      <w:marRight w:val="0"/>
      <w:marTop w:val="0"/>
      <w:marBottom w:val="0"/>
      <w:divBdr>
        <w:top w:val="none" w:sz="0" w:space="0" w:color="auto"/>
        <w:left w:val="none" w:sz="0" w:space="0" w:color="auto"/>
        <w:bottom w:val="none" w:sz="0" w:space="0" w:color="auto"/>
        <w:right w:val="none" w:sz="0" w:space="0" w:color="auto"/>
      </w:divBdr>
    </w:div>
    <w:div w:id="232157605">
      <w:bodyDiv w:val="1"/>
      <w:marLeft w:val="0"/>
      <w:marRight w:val="0"/>
      <w:marTop w:val="0"/>
      <w:marBottom w:val="0"/>
      <w:divBdr>
        <w:top w:val="none" w:sz="0" w:space="0" w:color="auto"/>
        <w:left w:val="none" w:sz="0" w:space="0" w:color="auto"/>
        <w:bottom w:val="none" w:sz="0" w:space="0" w:color="auto"/>
        <w:right w:val="none" w:sz="0" w:space="0" w:color="auto"/>
      </w:divBdr>
    </w:div>
    <w:div w:id="236984150">
      <w:bodyDiv w:val="1"/>
      <w:marLeft w:val="0"/>
      <w:marRight w:val="0"/>
      <w:marTop w:val="0"/>
      <w:marBottom w:val="0"/>
      <w:divBdr>
        <w:top w:val="none" w:sz="0" w:space="0" w:color="auto"/>
        <w:left w:val="none" w:sz="0" w:space="0" w:color="auto"/>
        <w:bottom w:val="none" w:sz="0" w:space="0" w:color="auto"/>
        <w:right w:val="none" w:sz="0" w:space="0" w:color="auto"/>
      </w:divBdr>
    </w:div>
    <w:div w:id="283078584">
      <w:bodyDiv w:val="1"/>
      <w:marLeft w:val="0"/>
      <w:marRight w:val="0"/>
      <w:marTop w:val="0"/>
      <w:marBottom w:val="0"/>
      <w:divBdr>
        <w:top w:val="none" w:sz="0" w:space="0" w:color="auto"/>
        <w:left w:val="none" w:sz="0" w:space="0" w:color="auto"/>
        <w:bottom w:val="none" w:sz="0" w:space="0" w:color="auto"/>
        <w:right w:val="none" w:sz="0" w:space="0" w:color="auto"/>
      </w:divBdr>
    </w:div>
    <w:div w:id="292488069">
      <w:bodyDiv w:val="1"/>
      <w:marLeft w:val="0"/>
      <w:marRight w:val="0"/>
      <w:marTop w:val="0"/>
      <w:marBottom w:val="0"/>
      <w:divBdr>
        <w:top w:val="none" w:sz="0" w:space="0" w:color="auto"/>
        <w:left w:val="none" w:sz="0" w:space="0" w:color="auto"/>
        <w:bottom w:val="none" w:sz="0" w:space="0" w:color="auto"/>
        <w:right w:val="none" w:sz="0" w:space="0" w:color="auto"/>
      </w:divBdr>
    </w:div>
    <w:div w:id="355081479">
      <w:bodyDiv w:val="1"/>
      <w:marLeft w:val="0"/>
      <w:marRight w:val="0"/>
      <w:marTop w:val="0"/>
      <w:marBottom w:val="0"/>
      <w:divBdr>
        <w:top w:val="none" w:sz="0" w:space="0" w:color="auto"/>
        <w:left w:val="none" w:sz="0" w:space="0" w:color="auto"/>
        <w:bottom w:val="none" w:sz="0" w:space="0" w:color="auto"/>
        <w:right w:val="none" w:sz="0" w:space="0" w:color="auto"/>
      </w:divBdr>
    </w:div>
    <w:div w:id="364792107">
      <w:bodyDiv w:val="1"/>
      <w:marLeft w:val="0"/>
      <w:marRight w:val="0"/>
      <w:marTop w:val="0"/>
      <w:marBottom w:val="0"/>
      <w:divBdr>
        <w:top w:val="none" w:sz="0" w:space="0" w:color="auto"/>
        <w:left w:val="none" w:sz="0" w:space="0" w:color="auto"/>
        <w:bottom w:val="none" w:sz="0" w:space="0" w:color="auto"/>
        <w:right w:val="none" w:sz="0" w:space="0" w:color="auto"/>
      </w:divBdr>
    </w:div>
    <w:div w:id="371539311">
      <w:bodyDiv w:val="1"/>
      <w:marLeft w:val="0"/>
      <w:marRight w:val="0"/>
      <w:marTop w:val="0"/>
      <w:marBottom w:val="0"/>
      <w:divBdr>
        <w:top w:val="none" w:sz="0" w:space="0" w:color="auto"/>
        <w:left w:val="none" w:sz="0" w:space="0" w:color="auto"/>
        <w:bottom w:val="none" w:sz="0" w:space="0" w:color="auto"/>
        <w:right w:val="none" w:sz="0" w:space="0" w:color="auto"/>
      </w:divBdr>
    </w:div>
    <w:div w:id="373896489">
      <w:bodyDiv w:val="1"/>
      <w:marLeft w:val="0"/>
      <w:marRight w:val="0"/>
      <w:marTop w:val="0"/>
      <w:marBottom w:val="0"/>
      <w:divBdr>
        <w:top w:val="none" w:sz="0" w:space="0" w:color="auto"/>
        <w:left w:val="none" w:sz="0" w:space="0" w:color="auto"/>
        <w:bottom w:val="none" w:sz="0" w:space="0" w:color="auto"/>
        <w:right w:val="none" w:sz="0" w:space="0" w:color="auto"/>
      </w:divBdr>
    </w:div>
    <w:div w:id="436491212">
      <w:bodyDiv w:val="1"/>
      <w:marLeft w:val="0"/>
      <w:marRight w:val="0"/>
      <w:marTop w:val="0"/>
      <w:marBottom w:val="0"/>
      <w:divBdr>
        <w:top w:val="none" w:sz="0" w:space="0" w:color="auto"/>
        <w:left w:val="none" w:sz="0" w:space="0" w:color="auto"/>
        <w:bottom w:val="none" w:sz="0" w:space="0" w:color="auto"/>
        <w:right w:val="none" w:sz="0" w:space="0" w:color="auto"/>
      </w:divBdr>
    </w:div>
    <w:div w:id="463086468">
      <w:bodyDiv w:val="1"/>
      <w:marLeft w:val="0"/>
      <w:marRight w:val="0"/>
      <w:marTop w:val="0"/>
      <w:marBottom w:val="0"/>
      <w:divBdr>
        <w:top w:val="none" w:sz="0" w:space="0" w:color="auto"/>
        <w:left w:val="none" w:sz="0" w:space="0" w:color="auto"/>
        <w:bottom w:val="none" w:sz="0" w:space="0" w:color="auto"/>
        <w:right w:val="none" w:sz="0" w:space="0" w:color="auto"/>
      </w:divBdr>
    </w:div>
    <w:div w:id="498078298">
      <w:bodyDiv w:val="1"/>
      <w:marLeft w:val="0"/>
      <w:marRight w:val="0"/>
      <w:marTop w:val="0"/>
      <w:marBottom w:val="0"/>
      <w:divBdr>
        <w:top w:val="none" w:sz="0" w:space="0" w:color="auto"/>
        <w:left w:val="none" w:sz="0" w:space="0" w:color="auto"/>
        <w:bottom w:val="none" w:sz="0" w:space="0" w:color="auto"/>
        <w:right w:val="none" w:sz="0" w:space="0" w:color="auto"/>
      </w:divBdr>
    </w:div>
    <w:div w:id="570118677">
      <w:bodyDiv w:val="1"/>
      <w:marLeft w:val="0"/>
      <w:marRight w:val="0"/>
      <w:marTop w:val="0"/>
      <w:marBottom w:val="0"/>
      <w:divBdr>
        <w:top w:val="none" w:sz="0" w:space="0" w:color="auto"/>
        <w:left w:val="none" w:sz="0" w:space="0" w:color="auto"/>
        <w:bottom w:val="none" w:sz="0" w:space="0" w:color="auto"/>
        <w:right w:val="none" w:sz="0" w:space="0" w:color="auto"/>
      </w:divBdr>
    </w:div>
    <w:div w:id="637148485">
      <w:bodyDiv w:val="1"/>
      <w:marLeft w:val="0"/>
      <w:marRight w:val="0"/>
      <w:marTop w:val="0"/>
      <w:marBottom w:val="0"/>
      <w:divBdr>
        <w:top w:val="none" w:sz="0" w:space="0" w:color="auto"/>
        <w:left w:val="none" w:sz="0" w:space="0" w:color="auto"/>
        <w:bottom w:val="none" w:sz="0" w:space="0" w:color="auto"/>
        <w:right w:val="none" w:sz="0" w:space="0" w:color="auto"/>
      </w:divBdr>
    </w:div>
    <w:div w:id="701857458">
      <w:bodyDiv w:val="1"/>
      <w:marLeft w:val="0"/>
      <w:marRight w:val="0"/>
      <w:marTop w:val="0"/>
      <w:marBottom w:val="0"/>
      <w:divBdr>
        <w:top w:val="none" w:sz="0" w:space="0" w:color="auto"/>
        <w:left w:val="none" w:sz="0" w:space="0" w:color="auto"/>
        <w:bottom w:val="none" w:sz="0" w:space="0" w:color="auto"/>
        <w:right w:val="none" w:sz="0" w:space="0" w:color="auto"/>
      </w:divBdr>
    </w:div>
    <w:div w:id="722021759">
      <w:bodyDiv w:val="1"/>
      <w:marLeft w:val="0"/>
      <w:marRight w:val="0"/>
      <w:marTop w:val="0"/>
      <w:marBottom w:val="0"/>
      <w:divBdr>
        <w:top w:val="none" w:sz="0" w:space="0" w:color="auto"/>
        <w:left w:val="none" w:sz="0" w:space="0" w:color="auto"/>
        <w:bottom w:val="none" w:sz="0" w:space="0" w:color="auto"/>
        <w:right w:val="none" w:sz="0" w:space="0" w:color="auto"/>
      </w:divBdr>
    </w:div>
    <w:div w:id="750272702">
      <w:bodyDiv w:val="1"/>
      <w:marLeft w:val="0"/>
      <w:marRight w:val="0"/>
      <w:marTop w:val="0"/>
      <w:marBottom w:val="0"/>
      <w:divBdr>
        <w:top w:val="none" w:sz="0" w:space="0" w:color="auto"/>
        <w:left w:val="none" w:sz="0" w:space="0" w:color="auto"/>
        <w:bottom w:val="none" w:sz="0" w:space="0" w:color="auto"/>
        <w:right w:val="none" w:sz="0" w:space="0" w:color="auto"/>
      </w:divBdr>
    </w:div>
    <w:div w:id="773786916">
      <w:bodyDiv w:val="1"/>
      <w:marLeft w:val="0"/>
      <w:marRight w:val="0"/>
      <w:marTop w:val="0"/>
      <w:marBottom w:val="0"/>
      <w:divBdr>
        <w:top w:val="none" w:sz="0" w:space="0" w:color="auto"/>
        <w:left w:val="none" w:sz="0" w:space="0" w:color="auto"/>
        <w:bottom w:val="none" w:sz="0" w:space="0" w:color="auto"/>
        <w:right w:val="none" w:sz="0" w:space="0" w:color="auto"/>
      </w:divBdr>
    </w:div>
    <w:div w:id="815997889">
      <w:bodyDiv w:val="1"/>
      <w:marLeft w:val="0"/>
      <w:marRight w:val="0"/>
      <w:marTop w:val="0"/>
      <w:marBottom w:val="0"/>
      <w:divBdr>
        <w:top w:val="none" w:sz="0" w:space="0" w:color="auto"/>
        <w:left w:val="none" w:sz="0" w:space="0" w:color="auto"/>
        <w:bottom w:val="none" w:sz="0" w:space="0" w:color="auto"/>
        <w:right w:val="none" w:sz="0" w:space="0" w:color="auto"/>
      </w:divBdr>
    </w:div>
    <w:div w:id="843516861">
      <w:bodyDiv w:val="1"/>
      <w:marLeft w:val="0"/>
      <w:marRight w:val="0"/>
      <w:marTop w:val="0"/>
      <w:marBottom w:val="0"/>
      <w:divBdr>
        <w:top w:val="none" w:sz="0" w:space="0" w:color="auto"/>
        <w:left w:val="none" w:sz="0" w:space="0" w:color="auto"/>
        <w:bottom w:val="none" w:sz="0" w:space="0" w:color="auto"/>
        <w:right w:val="none" w:sz="0" w:space="0" w:color="auto"/>
      </w:divBdr>
    </w:div>
    <w:div w:id="920718642">
      <w:bodyDiv w:val="1"/>
      <w:marLeft w:val="0"/>
      <w:marRight w:val="0"/>
      <w:marTop w:val="0"/>
      <w:marBottom w:val="0"/>
      <w:divBdr>
        <w:top w:val="none" w:sz="0" w:space="0" w:color="auto"/>
        <w:left w:val="none" w:sz="0" w:space="0" w:color="auto"/>
        <w:bottom w:val="none" w:sz="0" w:space="0" w:color="auto"/>
        <w:right w:val="none" w:sz="0" w:space="0" w:color="auto"/>
      </w:divBdr>
    </w:div>
    <w:div w:id="956251108">
      <w:bodyDiv w:val="1"/>
      <w:marLeft w:val="0"/>
      <w:marRight w:val="0"/>
      <w:marTop w:val="0"/>
      <w:marBottom w:val="0"/>
      <w:divBdr>
        <w:top w:val="none" w:sz="0" w:space="0" w:color="auto"/>
        <w:left w:val="none" w:sz="0" w:space="0" w:color="auto"/>
        <w:bottom w:val="none" w:sz="0" w:space="0" w:color="auto"/>
        <w:right w:val="none" w:sz="0" w:space="0" w:color="auto"/>
      </w:divBdr>
    </w:div>
    <w:div w:id="1055935389">
      <w:bodyDiv w:val="1"/>
      <w:marLeft w:val="0"/>
      <w:marRight w:val="0"/>
      <w:marTop w:val="0"/>
      <w:marBottom w:val="0"/>
      <w:divBdr>
        <w:top w:val="none" w:sz="0" w:space="0" w:color="auto"/>
        <w:left w:val="none" w:sz="0" w:space="0" w:color="auto"/>
        <w:bottom w:val="none" w:sz="0" w:space="0" w:color="auto"/>
        <w:right w:val="none" w:sz="0" w:space="0" w:color="auto"/>
      </w:divBdr>
    </w:div>
    <w:div w:id="1070617631">
      <w:bodyDiv w:val="1"/>
      <w:marLeft w:val="0"/>
      <w:marRight w:val="0"/>
      <w:marTop w:val="0"/>
      <w:marBottom w:val="0"/>
      <w:divBdr>
        <w:top w:val="none" w:sz="0" w:space="0" w:color="auto"/>
        <w:left w:val="none" w:sz="0" w:space="0" w:color="auto"/>
        <w:bottom w:val="none" w:sz="0" w:space="0" w:color="auto"/>
        <w:right w:val="none" w:sz="0" w:space="0" w:color="auto"/>
      </w:divBdr>
    </w:div>
    <w:div w:id="1093552570">
      <w:bodyDiv w:val="1"/>
      <w:marLeft w:val="0"/>
      <w:marRight w:val="0"/>
      <w:marTop w:val="0"/>
      <w:marBottom w:val="0"/>
      <w:divBdr>
        <w:top w:val="none" w:sz="0" w:space="0" w:color="auto"/>
        <w:left w:val="none" w:sz="0" w:space="0" w:color="auto"/>
        <w:bottom w:val="none" w:sz="0" w:space="0" w:color="auto"/>
        <w:right w:val="none" w:sz="0" w:space="0" w:color="auto"/>
      </w:divBdr>
    </w:div>
    <w:div w:id="1093894052">
      <w:bodyDiv w:val="1"/>
      <w:marLeft w:val="0"/>
      <w:marRight w:val="0"/>
      <w:marTop w:val="0"/>
      <w:marBottom w:val="0"/>
      <w:divBdr>
        <w:top w:val="none" w:sz="0" w:space="0" w:color="auto"/>
        <w:left w:val="none" w:sz="0" w:space="0" w:color="auto"/>
        <w:bottom w:val="none" w:sz="0" w:space="0" w:color="auto"/>
        <w:right w:val="none" w:sz="0" w:space="0" w:color="auto"/>
      </w:divBdr>
    </w:div>
    <w:div w:id="1111246119">
      <w:bodyDiv w:val="1"/>
      <w:marLeft w:val="0"/>
      <w:marRight w:val="0"/>
      <w:marTop w:val="0"/>
      <w:marBottom w:val="0"/>
      <w:divBdr>
        <w:top w:val="none" w:sz="0" w:space="0" w:color="auto"/>
        <w:left w:val="none" w:sz="0" w:space="0" w:color="auto"/>
        <w:bottom w:val="none" w:sz="0" w:space="0" w:color="auto"/>
        <w:right w:val="none" w:sz="0" w:space="0" w:color="auto"/>
      </w:divBdr>
    </w:div>
    <w:div w:id="1140999877">
      <w:bodyDiv w:val="1"/>
      <w:marLeft w:val="0"/>
      <w:marRight w:val="0"/>
      <w:marTop w:val="0"/>
      <w:marBottom w:val="0"/>
      <w:divBdr>
        <w:top w:val="none" w:sz="0" w:space="0" w:color="auto"/>
        <w:left w:val="none" w:sz="0" w:space="0" w:color="auto"/>
        <w:bottom w:val="none" w:sz="0" w:space="0" w:color="auto"/>
        <w:right w:val="none" w:sz="0" w:space="0" w:color="auto"/>
      </w:divBdr>
    </w:div>
    <w:div w:id="1155604776">
      <w:bodyDiv w:val="1"/>
      <w:marLeft w:val="0"/>
      <w:marRight w:val="0"/>
      <w:marTop w:val="0"/>
      <w:marBottom w:val="0"/>
      <w:divBdr>
        <w:top w:val="none" w:sz="0" w:space="0" w:color="auto"/>
        <w:left w:val="none" w:sz="0" w:space="0" w:color="auto"/>
        <w:bottom w:val="none" w:sz="0" w:space="0" w:color="auto"/>
        <w:right w:val="none" w:sz="0" w:space="0" w:color="auto"/>
      </w:divBdr>
    </w:div>
    <w:div w:id="1175999143">
      <w:bodyDiv w:val="1"/>
      <w:marLeft w:val="0"/>
      <w:marRight w:val="0"/>
      <w:marTop w:val="0"/>
      <w:marBottom w:val="0"/>
      <w:divBdr>
        <w:top w:val="none" w:sz="0" w:space="0" w:color="auto"/>
        <w:left w:val="none" w:sz="0" w:space="0" w:color="auto"/>
        <w:bottom w:val="none" w:sz="0" w:space="0" w:color="auto"/>
        <w:right w:val="none" w:sz="0" w:space="0" w:color="auto"/>
      </w:divBdr>
    </w:div>
    <w:div w:id="1251085280">
      <w:bodyDiv w:val="1"/>
      <w:marLeft w:val="0"/>
      <w:marRight w:val="0"/>
      <w:marTop w:val="0"/>
      <w:marBottom w:val="0"/>
      <w:divBdr>
        <w:top w:val="none" w:sz="0" w:space="0" w:color="auto"/>
        <w:left w:val="none" w:sz="0" w:space="0" w:color="auto"/>
        <w:bottom w:val="none" w:sz="0" w:space="0" w:color="auto"/>
        <w:right w:val="none" w:sz="0" w:space="0" w:color="auto"/>
      </w:divBdr>
    </w:div>
    <w:div w:id="1330984781">
      <w:bodyDiv w:val="1"/>
      <w:marLeft w:val="0"/>
      <w:marRight w:val="0"/>
      <w:marTop w:val="0"/>
      <w:marBottom w:val="0"/>
      <w:divBdr>
        <w:top w:val="none" w:sz="0" w:space="0" w:color="auto"/>
        <w:left w:val="none" w:sz="0" w:space="0" w:color="auto"/>
        <w:bottom w:val="none" w:sz="0" w:space="0" w:color="auto"/>
        <w:right w:val="none" w:sz="0" w:space="0" w:color="auto"/>
      </w:divBdr>
    </w:div>
    <w:div w:id="1338383143">
      <w:bodyDiv w:val="1"/>
      <w:marLeft w:val="0"/>
      <w:marRight w:val="0"/>
      <w:marTop w:val="0"/>
      <w:marBottom w:val="0"/>
      <w:divBdr>
        <w:top w:val="none" w:sz="0" w:space="0" w:color="auto"/>
        <w:left w:val="none" w:sz="0" w:space="0" w:color="auto"/>
        <w:bottom w:val="none" w:sz="0" w:space="0" w:color="auto"/>
        <w:right w:val="none" w:sz="0" w:space="0" w:color="auto"/>
      </w:divBdr>
    </w:div>
    <w:div w:id="1340548990">
      <w:bodyDiv w:val="1"/>
      <w:marLeft w:val="0"/>
      <w:marRight w:val="0"/>
      <w:marTop w:val="0"/>
      <w:marBottom w:val="0"/>
      <w:divBdr>
        <w:top w:val="none" w:sz="0" w:space="0" w:color="auto"/>
        <w:left w:val="none" w:sz="0" w:space="0" w:color="auto"/>
        <w:bottom w:val="none" w:sz="0" w:space="0" w:color="auto"/>
        <w:right w:val="none" w:sz="0" w:space="0" w:color="auto"/>
      </w:divBdr>
    </w:div>
    <w:div w:id="1354267423">
      <w:bodyDiv w:val="1"/>
      <w:marLeft w:val="0"/>
      <w:marRight w:val="0"/>
      <w:marTop w:val="0"/>
      <w:marBottom w:val="0"/>
      <w:divBdr>
        <w:top w:val="none" w:sz="0" w:space="0" w:color="auto"/>
        <w:left w:val="none" w:sz="0" w:space="0" w:color="auto"/>
        <w:bottom w:val="none" w:sz="0" w:space="0" w:color="auto"/>
        <w:right w:val="none" w:sz="0" w:space="0" w:color="auto"/>
      </w:divBdr>
    </w:div>
    <w:div w:id="1374691404">
      <w:bodyDiv w:val="1"/>
      <w:marLeft w:val="0"/>
      <w:marRight w:val="0"/>
      <w:marTop w:val="0"/>
      <w:marBottom w:val="0"/>
      <w:divBdr>
        <w:top w:val="none" w:sz="0" w:space="0" w:color="auto"/>
        <w:left w:val="none" w:sz="0" w:space="0" w:color="auto"/>
        <w:bottom w:val="none" w:sz="0" w:space="0" w:color="auto"/>
        <w:right w:val="none" w:sz="0" w:space="0" w:color="auto"/>
      </w:divBdr>
    </w:div>
    <w:div w:id="1439760827">
      <w:bodyDiv w:val="1"/>
      <w:marLeft w:val="0"/>
      <w:marRight w:val="0"/>
      <w:marTop w:val="0"/>
      <w:marBottom w:val="0"/>
      <w:divBdr>
        <w:top w:val="none" w:sz="0" w:space="0" w:color="auto"/>
        <w:left w:val="none" w:sz="0" w:space="0" w:color="auto"/>
        <w:bottom w:val="none" w:sz="0" w:space="0" w:color="auto"/>
        <w:right w:val="none" w:sz="0" w:space="0" w:color="auto"/>
      </w:divBdr>
    </w:div>
    <w:div w:id="1468931278">
      <w:bodyDiv w:val="1"/>
      <w:marLeft w:val="0"/>
      <w:marRight w:val="0"/>
      <w:marTop w:val="0"/>
      <w:marBottom w:val="0"/>
      <w:divBdr>
        <w:top w:val="none" w:sz="0" w:space="0" w:color="auto"/>
        <w:left w:val="none" w:sz="0" w:space="0" w:color="auto"/>
        <w:bottom w:val="none" w:sz="0" w:space="0" w:color="auto"/>
        <w:right w:val="none" w:sz="0" w:space="0" w:color="auto"/>
      </w:divBdr>
    </w:div>
    <w:div w:id="1483933195">
      <w:bodyDiv w:val="1"/>
      <w:marLeft w:val="0"/>
      <w:marRight w:val="0"/>
      <w:marTop w:val="0"/>
      <w:marBottom w:val="0"/>
      <w:divBdr>
        <w:top w:val="none" w:sz="0" w:space="0" w:color="auto"/>
        <w:left w:val="none" w:sz="0" w:space="0" w:color="auto"/>
        <w:bottom w:val="none" w:sz="0" w:space="0" w:color="auto"/>
        <w:right w:val="none" w:sz="0" w:space="0" w:color="auto"/>
      </w:divBdr>
    </w:div>
    <w:div w:id="1548487395">
      <w:bodyDiv w:val="1"/>
      <w:marLeft w:val="0"/>
      <w:marRight w:val="0"/>
      <w:marTop w:val="0"/>
      <w:marBottom w:val="0"/>
      <w:divBdr>
        <w:top w:val="none" w:sz="0" w:space="0" w:color="auto"/>
        <w:left w:val="none" w:sz="0" w:space="0" w:color="auto"/>
        <w:bottom w:val="none" w:sz="0" w:space="0" w:color="auto"/>
        <w:right w:val="none" w:sz="0" w:space="0" w:color="auto"/>
      </w:divBdr>
    </w:div>
    <w:div w:id="1549338536">
      <w:bodyDiv w:val="1"/>
      <w:marLeft w:val="0"/>
      <w:marRight w:val="0"/>
      <w:marTop w:val="0"/>
      <w:marBottom w:val="0"/>
      <w:divBdr>
        <w:top w:val="none" w:sz="0" w:space="0" w:color="auto"/>
        <w:left w:val="none" w:sz="0" w:space="0" w:color="auto"/>
        <w:bottom w:val="none" w:sz="0" w:space="0" w:color="auto"/>
        <w:right w:val="none" w:sz="0" w:space="0" w:color="auto"/>
      </w:divBdr>
    </w:div>
    <w:div w:id="1648438191">
      <w:bodyDiv w:val="1"/>
      <w:marLeft w:val="0"/>
      <w:marRight w:val="0"/>
      <w:marTop w:val="0"/>
      <w:marBottom w:val="0"/>
      <w:divBdr>
        <w:top w:val="none" w:sz="0" w:space="0" w:color="auto"/>
        <w:left w:val="none" w:sz="0" w:space="0" w:color="auto"/>
        <w:bottom w:val="none" w:sz="0" w:space="0" w:color="auto"/>
        <w:right w:val="none" w:sz="0" w:space="0" w:color="auto"/>
      </w:divBdr>
    </w:div>
    <w:div w:id="1735883983">
      <w:bodyDiv w:val="1"/>
      <w:marLeft w:val="0"/>
      <w:marRight w:val="0"/>
      <w:marTop w:val="0"/>
      <w:marBottom w:val="0"/>
      <w:divBdr>
        <w:top w:val="none" w:sz="0" w:space="0" w:color="auto"/>
        <w:left w:val="none" w:sz="0" w:space="0" w:color="auto"/>
        <w:bottom w:val="none" w:sz="0" w:space="0" w:color="auto"/>
        <w:right w:val="none" w:sz="0" w:space="0" w:color="auto"/>
      </w:divBdr>
    </w:div>
    <w:div w:id="1777675382">
      <w:bodyDiv w:val="1"/>
      <w:marLeft w:val="0"/>
      <w:marRight w:val="0"/>
      <w:marTop w:val="0"/>
      <w:marBottom w:val="0"/>
      <w:divBdr>
        <w:top w:val="none" w:sz="0" w:space="0" w:color="auto"/>
        <w:left w:val="none" w:sz="0" w:space="0" w:color="auto"/>
        <w:bottom w:val="none" w:sz="0" w:space="0" w:color="auto"/>
        <w:right w:val="none" w:sz="0" w:space="0" w:color="auto"/>
      </w:divBdr>
    </w:div>
    <w:div w:id="1826894115">
      <w:bodyDiv w:val="1"/>
      <w:marLeft w:val="0"/>
      <w:marRight w:val="0"/>
      <w:marTop w:val="0"/>
      <w:marBottom w:val="0"/>
      <w:divBdr>
        <w:top w:val="none" w:sz="0" w:space="0" w:color="auto"/>
        <w:left w:val="none" w:sz="0" w:space="0" w:color="auto"/>
        <w:bottom w:val="none" w:sz="0" w:space="0" w:color="auto"/>
        <w:right w:val="none" w:sz="0" w:space="0" w:color="auto"/>
      </w:divBdr>
    </w:div>
    <w:div w:id="1827234669">
      <w:bodyDiv w:val="1"/>
      <w:marLeft w:val="0"/>
      <w:marRight w:val="0"/>
      <w:marTop w:val="0"/>
      <w:marBottom w:val="0"/>
      <w:divBdr>
        <w:top w:val="none" w:sz="0" w:space="0" w:color="auto"/>
        <w:left w:val="none" w:sz="0" w:space="0" w:color="auto"/>
        <w:bottom w:val="none" w:sz="0" w:space="0" w:color="auto"/>
        <w:right w:val="none" w:sz="0" w:space="0" w:color="auto"/>
      </w:divBdr>
    </w:div>
    <w:div w:id="1846018835">
      <w:bodyDiv w:val="1"/>
      <w:marLeft w:val="0"/>
      <w:marRight w:val="0"/>
      <w:marTop w:val="0"/>
      <w:marBottom w:val="0"/>
      <w:divBdr>
        <w:top w:val="none" w:sz="0" w:space="0" w:color="auto"/>
        <w:left w:val="none" w:sz="0" w:space="0" w:color="auto"/>
        <w:bottom w:val="none" w:sz="0" w:space="0" w:color="auto"/>
        <w:right w:val="none" w:sz="0" w:space="0" w:color="auto"/>
      </w:divBdr>
    </w:div>
    <w:div w:id="1879274634">
      <w:bodyDiv w:val="1"/>
      <w:marLeft w:val="0"/>
      <w:marRight w:val="0"/>
      <w:marTop w:val="0"/>
      <w:marBottom w:val="0"/>
      <w:divBdr>
        <w:top w:val="none" w:sz="0" w:space="0" w:color="auto"/>
        <w:left w:val="none" w:sz="0" w:space="0" w:color="auto"/>
        <w:bottom w:val="none" w:sz="0" w:space="0" w:color="auto"/>
        <w:right w:val="none" w:sz="0" w:space="0" w:color="auto"/>
      </w:divBdr>
      <w:divsChild>
        <w:div w:id="912817046">
          <w:marLeft w:val="0"/>
          <w:marRight w:val="0"/>
          <w:marTop w:val="75"/>
          <w:marBottom w:val="0"/>
          <w:divBdr>
            <w:top w:val="none" w:sz="0" w:space="0" w:color="auto"/>
            <w:left w:val="none" w:sz="0" w:space="0" w:color="auto"/>
            <w:bottom w:val="none" w:sz="0" w:space="0" w:color="auto"/>
            <w:right w:val="none" w:sz="0" w:space="0" w:color="auto"/>
          </w:divBdr>
          <w:divsChild>
            <w:div w:id="1946307210">
              <w:marLeft w:val="0"/>
              <w:marRight w:val="0"/>
              <w:marTop w:val="75"/>
              <w:marBottom w:val="0"/>
              <w:divBdr>
                <w:top w:val="none" w:sz="0" w:space="0" w:color="auto"/>
                <w:left w:val="none" w:sz="0" w:space="0" w:color="auto"/>
                <w:bottom w:val="none" w:sz="0" w:space="0" w:color="auto"/>
                <w:right w:val="none" w:sz="0" w:space="0" w:color="auto"/>
              </w:divBdr>
            </w:div>
          </w:divsChild>
        </w:div>
        <w:div w:id="9374133">
          <w:marLeft w:val="0"/>
          <w:marRight w:val="0"/>
          <w:marTop w:val="75"/>
          <w:marBottom w:val="0"/>
          <w:divBdr>
            <w:top w:val="none" w:sz="0" w:space="0" w:color="auto"/>
            <w:left w:val="none" w:sz="0" w:space="0" w:color="auto"/>
            <w:bottom w:val="none" w:sz="0" w:space="0" w:color="auto"/>
            <w:right w:val="none" w:sz="0" w:space="0" w:color="auto"/>
          </w:divBdr>
          <w:divsChild>
            <w:div w:id="1352493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0194717">
      <w:bodyDiv w:val="1"/>
      <w:marLeft w:val="0"/>
      <w:marRight w:val="0"/>
      <w:marTop w:val="0"/>
      <w:marBottom w:val="0"/>
      <w:divBdr>
        <w:top w:val="none" w:sz="0" w:space="0" w:color="auto"/>
        <w:left w:val="none" w:sz="0" w:space="0" w:color="auto"/>
        <w:bottom w:val="none" w:sz="0" w:space="0" w:color="auto"/>
        <w:right w:val="none" w:sz="0" w:space="0" w:color="auto"/>
      </w:divBdr>
    </w:div>
    <w:div w:id="1883517659">
      <w:bodyDiv w:val="1"/>
      <w:marLeft w:val="0"/>
      <w:marRight w:val="0"/>
      <w:marTop w:val="0"/>
      <w:marBottom w:val="0"/>
      <w:divBdr>
        <w:top w:val="none" w:sz="0" w:space="0" w:color="auto"/>
        <w:left w:val="none" w:sz="0" w:space="0" w:color="auto"/>
        <w:bottom w:val="none" w:sz="0" w:space="0" w:color="auto"/>
        <w:right w:val="none" w:sz="0" w:space="0" w:color="auto"/>
      </w:divBdr>
    </w:div>
    <w:div w:id="1886092176">
      <w:bodyDiv w:val="1"/>
      <w:marLeft w:val="0"/>
      <w:marRight w:val="0"/>
      <w:marTop w:val="0"/>
      <w:marBottom w:val="0"/>
      <w:divBdr>
        <w:top w:val="none" w:sz="0" w:space="0" w:color="auto"/>
        <w:left w:val="none" w:sz="0" w:space="0" w:color="auto"/>
        <w:bottom w:val="none" w:sz="0" w:space="0" w:color="auto"/>
        <w:right w:val="none" w:sz="0" w:space="0" w:color="auto"/>
      </w:divBdr>
    </w:div>
    <w:div w:id="1931501413">
      <w:bodyDiv w:val="1"/>
      <w:marLeft w:val="0"/>
      <w:marRight w:val="0"/>
      <w:marTop w:val="0"/>
      <w:marBottom w:val="0"/>
      <w:divBdr>
        <w:top w:val="none" w:sz="0" w:space="0" w:color="auto"/>
        <w:left w:val="none" w:sz="0" w:space="0" w:color="auto"/>
        <w:bottom w:val="none" w:sz="0" w:space="0" w:color="auto"/>
        <w:right w:val="none" w:sz="0" w:space="0" w:color="auto"/>
      </w:divBdr>
    </w:div>
    <w:div w:id="1961036582">
      <w:bodyDiv w:val="1"/>
      <w:marLeft w:val="0"/>
      <w:marRight w:val="0"/>
      <w:marTop w:val="0"/>
      <w:marBottom w:val="0"/>
      <w:divBdr>
        <w:top w:val="none" w:sz="0" w:space="0" w:color="auto"/>
        <w:left w:val="none" w:sz="0" w:space="0" w:color="auto"/>
        <w:bottom w:val="none" w:sz="0" w:space="0" w:color="auto"/>
        <w:right w:val="none" w:sz="0" w:space="0" w:color="auto"/>
      </w:divBdr>
    </w:div>
    <w:div w:id="1965190543">
      <w:bodyDiv w:val="1"/>
      <w:marLeft w:val="0"/>
      <w:marRight w:val="0"/>
      <w:marTop w:val="0"/>
      <w:marBottom w:val="0"/>
      <w:divBdr>
        <w:top w:val="none" w:sz="0" w:space="0" w:color="auto"/>
        <w:left w:val="none" w:sz="0" w:space="0" w:color="auto"/>
        <w:bottom w:val="none" w:sz="0" w:space="0" w:color="auto"/>
        <w:right w:val="none" w:sz="0" w:space="0" w:color="auto"/>
      </w:divBdr>
    </w:div>
    <w:div w:id="1991861674">
      <w:bodyDiv w:val="1"/>
      <w:marLeft w:val="0"/>
      <w:marRight w:val="0"/>
      <w:marTop w:val="0"/>
      <w:marBottom w:val="0"/>
      <w:divBdr>
        <w:top w:val="none" w:sz="0" w:space="0" w:color="auto"/>
        <w:left w:val="none" w:sz="0" w:space="0" w:color="auto"/>
        <w:bottom w:val="none" w:sz="0" w:space="0" w:color="auto"/>
        <w:right w:val="none" w:sz="0" w:space="0" w:color="auto"/>
      </w:divBdr>
    </w:div>
    <w:div w:id="1995834347">
      <w:bodyDiv w:val="1"/>
      <w:marLeft w:val="0"/>
      <w:marRight w:val="0"/>
      <w:marTop w:val="0"/>
      <w:marBottom w:val="0"/>
      <w:divBdr>
        <w:top w:val="none" w:sz="0" w:space="0" w:color="auto"/>
        <w:left w:val="none" w:sz="0" w:space="0" w:color="auto"/>
        <w:bottom w:val="none" w:sz="0" w:space="0" w:color="auto"/>
        <w:right w:val="none" w:sz="0" w:space="0" w:color="auto"/>
      </w:divBdr>
    </w:div>
    <w:div w:id="2016220541">
      <w:bodyDiv w:val="1"/>
      <w:marLeft w:val="0"/>
      <w:marRight w:val="0"/>
      <w:marTop w:val="0"/>
      <w:marBottom w:val="0"/>
      <w:divBdr>
        <w:top w:val="none" w:sz="0" w:space="0" w:color="auto"/>
        <w:left w:val="none" w:sz="0" w:space="0" w:color="auto"/>
        <w:bottom w:val="none" w:sz="0" w:space="0" w:color="auto"/>
        <w:right w:val="none" w:sz="0" w:space="0" w:color="auto"/>
      </w:divBdr>
    </w:div>
    <w:div w:id="203846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diagramLayout" Target="diagrams/layou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emf"/><Relationship Id="rId29" Type="http://schemas.openxmlformats.org/officeDocument/2006/relationships/hyperlink" Target="http://www.canapalma.cr/?page_id=34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microsoft.com/office/2007/relationships/diagramDrawing" Target="diagrams/drawing1.xml"/><Relationship Id="rId10" Type="http://schemas.openxmlformats.org/officeDocument/2006/relationships/chart" Target="charts/chart1.xml"/><Relationship Id="rId19" Type="http://schemas.openxmlformats.org/officeDocument/2006/relationships/image" Target="media/image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2021\DIEM-INF-004-20%20Estudio%20regulaci&#243;n%20del%20precio%20de%20fruta%20de%20palma%20VF.docx" TargetMode="External"/><Relationship Id="rId14" Type="http://schemas.openxmlformats.org/officeDocument/2006/relationships/chart" Target="charts/chart5.xml"/><Relationship Id="rId22" Type="http://schemas.openxmlformats.org/officeDocument/2006/relationships/image" Target="media/image4.emf"/><Relationship Id="rId27" Type="http://schemas.openxmlformats.org/officeDocument/2006/relationships/diagramColors" Target="diagrams/colors1.xml"/><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hyperlink" Target="http://www.meic.go.cr" TargetMode="External"/><Relationship Id="rId2" Type="http://schemas.openxmlformats.org/officeDocument/2006/relationships/hyperlink" Target="mailto:estudios_e@meic.go.cr" TargetMode="External"/><Relationship Id="rId1" Type="http://schemas.openxmlformats.org/officeDocument/2006/relationships/image" Target="media/image6.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ejara\Documents\PALMA\Estudio%20Regulaci&#243;n_Nov%202018\Graficos%20aceite%20de%20palm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jara\Documents\PALMA\Estudio%20Regulaci&#243;n_Nov%202018\Palma_120320.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jara\Documents\PALMA\Estudio%20Regulaci&#243;n_Nov%202018\Graficos%20aceite%20de%20palm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jara\Documents\PALMA\Estudio%20Regulaci&#243;n_Nov%202018\Palma_12032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56669624371504E-2"/>
          <c:y val="8.4052264072750585E-2"/>
          <c:w val="0.8687422855926793"/>
          <c:h val="0.71419798916768873"/>
        </c:manualLayout>
      </c:layout>
      <c:lineChart>
        <c:grouping val="standard"/>
        <c:varyColors val="0"/>
        <c:ser>
          <c:idx val="0"/>
          <c:order val="0"/>
          <c:tx>
            <c:strRef>
              <c:f>Sheet1!$A$3</c:f>
              <c:strCache>
                <c:ptCount val="1"/>
                <c:pt idx="0">
                  <c:v>Área total</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7D-4703-986F-2CD979908D6B}"/>
                </c:ext>
                <c:ext xmlns:c15="http://schemas.microsoft.com/office/drawing/2012/chart" uri="{CE6537A1-D6FC-4f65-9D91-7224C49458BB}"/>
              </c:extLst>
            </c:dLbl>
            <c:dLbl>
              <c:idx val="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7D-4703-986F-2CD979908D6B}"/>
                </c:ext>
                <c:ext xmlns:c15="http://schemas.microsoft.com/office/drawing/2012/chart" uri="{CE6537A1-D6FC-4f65-9D91-7224C49458BB}"/>
              </c:extLst>
            </c:dLbl>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7D-4703-986F-2CD979908D6B}"/>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Sheet1!$B$3:$J$3</c:f>
              <c:numCache>
                <c:formatCode>0</c:formatCode>
                <c:ptCount val="9"/>
                <c:pt idx="0">
                  <c:v>57</c:v>
                </c:pt>
                <c:pt idx="1">
                  <c:v>60</c:v>
                </c:pt>
                <c:pt idx="2">
                  <c:v>63.5</c:v>
                </c:pt>
                <c:pt idx="3">
                  <c:v>74.512</c:v>
                </c:pt>
                <c:pt idx="4">
                  <c:v>74.75</c:v>
                </c:pt>
                <c:pt idx="5">
                  <c:v>75.581000000000003</c:v>
                </c:pt>
                <c:pt idx="6">
                  <c:v>76.38</c:v>
                </c:pt>
                <c:pt idx="7">
                  <c:v>76.86</c:v>
                </c:pt>
                <c:pt idx="8">
                  <c:v>76.86</c:v>
                </c:pt>
              </c:numCache>
            </c:numRef>
          </c:val>
          <c:smooth val="0"/>
          <c:extLst xmlns:c16r2="http://schemas.microsoft.com/office/drawing/2015/06/chart">
            <c:ext xmlns:c16="http://schemas.microsoft.com/office/drawing/2014/chart" uri="{C3380CC4-5D6E-409C-BE32-E72D297353CC}">
              <c16:uniqueId val="{00000003-817D-4703-986F-2CD979908D6B}"/>
            </c:ext>
          </c:extLst>
        </c:ser>
        <c:ser>
          <c:idx val="1"/>
          <c:order val="1"/>
          <c:tx>
            <c:strRef>
              <c:f>Sheet1!$A$4</c:f>
              <c:strCache>
                <c:ptCount val="1"/>
                <c:pt idx="0">
                  <c:v>Área productiva</c:v>
                </c:pt>
              </c:strCache>
            </c:strRef>
          </c:tx>
          <c:spPr>
            <a:ln w="28575" cap="rnd">
              <a:solidFill>
                <a:schemeClr val="accent2"/>
              </a:solidFill>
              <a:round/>
            </a:ln>
            <a:effectLst/>
          </c:spPr>
          <c:marker>
            <c:symbol val="none"/>
          </c:marker>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7D-4703-986F-2CD979908D6B}"/>
                </c:ext>
                <c:ext xmlns:c15="http://schemas.microsoft.com/office/drawing/2012/chart" uri="{CE6537A1-D6FC-4f65-9D91-7224C49458BB}"/>
              </c:extLst>
            </c:dLbl>
            <c:dLbl>
              <c:idx val="5"/>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17D-4703-986F-2CD979908D6B}"/>
                </c:ext>
                <c:ext xmlns:c15="http://schemas.microsoft.com/office/drawing/2012/chart" uri="{CE6537A1-D6FC-4f65-9D91-7224C49458BB}"/>
              </c:extLst>
            </c:dLbl>
            <c:dLbl>
              <c:idx val="8"/>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17D-4703-986F-2CD979908D6B}"/>
                </c:ext>
                <c:ext xmlns:c15="http://schemas.microsoft.com/office/drawing/2012/chart" uri="{CE6537A1-D6FC-4f65-9D91-7224C49458BB}"/>
              </c:extLst>
            </c:dLbl>
            <c:spPr>
              <a:noFill/>
              <a:ln>
                <a:noFill/>
              </a:ln>
              <a:effectLst/>
            </c:sp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Sheet1!$B$4:$J$4</c:f>
              <c:numCache>
                <c:formatCode>0</c:formatCode>
                <c:ptCount val="9"/>
                <c:pt idx="0">
                  <c:v>53.5</c:v>
                </c:pt>
                <c:pt idx="1">
                  <c:v>56.5</c:v>
                </c:pt>
                <c:pt idx="2">
                  <c:v>61.5</c:v>
                </c:pt>
                <c:pt idx="3">
                  <c:v>67.8</c:v>
                </c:pt>
                <c:pt idx="4">
                  <c:v>61.5</c:v>
                </c:pt>
                <c:pt idx="5">
                  <c:v>58.3</c:v>
                </c:pt>
                <c:pt idx="6">
                  <c:v>60.863</c:v>
                </c:pt>
                <c:pt idx="7">
                  <c:v>63.6</c:v>
                </c:pt>
                <c:pt idx="8">
                  <c:v>63.6</c:v>
                </c:pt>
              </c:numCache>
            </c:numRef>
          </c:val>
          <c:smooth val="0"/>
          <c:extLst xmlns:c16r2="http://schemas.microsoft.com/office/drawing/2015/06/chart">
            <c:ext xmlns:c16="http://schemas.microsoft.com/office/drawing/2014/chart" uri="{C3380CC4-5D6E-409C-BE32-E72D297353CC}">
              <c16:uniqueId val="{00000007-817D-4703-986F-2CD979908D6B}"/>
            </c:ext>
          </c:extLst>
        </c:ser>
        <c:ser>
          <c:idx val="2"/>
          <c:order val="2"/>
          <c:tx>
            <c:strRef>
              <c:f>Sheet1!$A$5</c:f>
              <c:strCache>
                <c:ptCount val="1"/>
                <c:pt idx="0">
                  <c:v>Área no productiva</c:v>
                </c:pt>
              </c:strCache>
            </c:strRef>
          </c:tx>
          <c:spPr>
            <a:ln w="28575" cap="rnd">
              <a:solidFill>
                <a:schemeClr val="accent3"/>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17D-4703-986F-2CD979908D6B}"/>
                </c:ext>
                <c:ext xmlns:c15="http://schemas.microsoft.com/office/drawing/2012/chart" uri="{CE6537A1-D6FC-4f65-9D91-7224C49458BB}"/>
              </c:extLst>
            </c:dLbl>
            <c:dLbl>
              <c:idx val="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17D-4703-986F-2CD979908D6B}"/>
                </c:ext>
                <c:ext xmlns:c15="http://schemas.microsoft.com/office/drawing/2012/chart" uri="{CE6537A1-D6FC-4f65-9D91-7224C49458BB}"/>
              </c:extLst>
            </c:dLbl>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17D-4703-986F-2CD979908D6B}"/>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Sheet1!$B$5:$J$5</c:f>
              <c:numCache>
                <c:formatCode>0</c:formatCode>
                <c:ptCount val="9"/>
                <c:pt idx="0">
                  <c:v>3.5</c:v>
                </c:pt>
                <c:pt idx="1">
                  <c:v>3.5</c:v>
                </c:pt>
                <c:pt idx="2">
                  <c:v>2</c:v>
                </c:pt>
                <c:pt idx="3">
                  <c:v>6.7119999999999997</c:v>
                </c:pt>
                <c:pt idx="4">
                  <c:v>13.25</c:v>
                </c:pt>
                <c:pt idx="5">
                  <c:v>17.280999999999999</c:v>
                </c:pt>
                <c:pt idx="6">
                  <c:v>15.516999999999999</c:v>
                </c:pt>
                <c:pt idx="7">
                  <c:v>13.26</c:v>
                </c:pt>
                <c:pt idx="8">
                  <c:v>13.26</c:v>
                </c:pt>
              </c:numCache>
            </c:numRef>
          </c:val>
          <c:smooth val="0"/>
          <c:extLst xmlns:c16r2="http://schemas.microsoft.com/office/drawing/2015/06/chart">
            <c:ext xmlns:c16="http://schemas.microsoft.com/office/drawing/2014/chart" uri="{C3380CC4-5D6E-409C-BE32-E72D297353CC}">
              <c16:uniqueId val="{0000000B-817D-4703-986F-2CD979908D6B}"/>
            </c:ext>
          </c:extLst>
        </c:ser>
        <c:dLbls>
          <c:showLegendKey val="0"/>
          <c:showVal val="0"/>
          <c:showCatName val="0"/>
          <c:showSerName val="0"/>
          <c:showPercent val="0"/>
          <c:showBubbleSize val="0"/>
        </c:dLbls>
        <c:smooth val="0"/>
        <c:axId val="-167786688"/>
        <c:axId val="-167784512"/>
      </c:lineChart>
      <c:catAx>
        <c:axId val="-16778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R"/>
          </a:p>
        </c:txPr>
        <c:crossAx val="-167784512"/>
        <c:crosses val="autoZero"/>
        <c:auto val="1"/>
        <c:lblAlgn val="ctr"/>
        <c:lblOffset val="100"/>
        <c:noMultiLvlLbl val="0"/>
      </c:catAx>
      <c:valAx>
        <c:axId val="-167784512"/>
        <c:scaling>
          <c:orientation val="minMax"/>
        </c:scaling>
        <c:delete val="1"/>
        <c:axPos val="l"/>
        <c:title>
          <c:tx>
            <c:rich>
              <a:bodyPr rot="-5400000" vert="horz"/>
              <a:lstStyle/>
              <a:p>
                <a:pPr>
                  <a:defRPr sz="1050"/>
                </a:pPr>
                <a:r>
                  <a:rPr lang="es-CR" sz="1050"/>
                  <a:t>miles de hectáreas</a:t>
                </a:r>
              </a:p>
            </c:rich>
          </c:tx>
          <c:layout>
            <c:manualLayout>
              <c:xMode val="edge"/>
              <c:yMode val="edge"/>
              <c:x val="1.8942811431439596E-2"/>
              <c:y val="0.33690747445050007"/>
            </c:manualLayout>
          </c:layout>
          <c:overlay val="0"/>
        </c:title>
        <c:numFmt formatCode="0" sourceLinked="1"/>
        <c:majorTickMark val="none"/>
        <c:minorTickMark val="none"/>
        <c:tickLblPos val="nextTo"/>
        <c:crossAx val="-167786688"/>
        <c:crosses val="autoZero"/>
        <c:crossBetween val="between"/>
      </c:valAx>
      <c:spPr>
        <a:noFill/>
        <a:ln>
          <a:noFill/>
        </a:ln>
        <a:effectLst/>
      </c:spPr>
    </c:plotArea>
    <c:legend>
      <c:legendPos val="b"/>
      <c:layout>
        <c:manualLayout>
          <c:xMode val="edge"/>
          <c:yMode val="edge"/>
          <c:x val="0.11595777503995029"/>
          <c:y val="0.89437489378575874"/>
          <c:w val="0.7680842371355799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Correlación!$F$1</c:f>
              <c:strCache>
                <c:ptCount val="1"/>
                <c:pt idx="0">
                  <c:v>% Pago</c:v>
                </c:pt>
              </c:strCache>
            </c:strRef>
          </c:tx>
          <c:marker>
            <c:symbol val="none"/>
          </c:marker>
          <c:dLbls>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0A-4428-846F-FCE6E7F37BE8}"/>
                </c:ext>
                <c:ext xmlns:c15="http://schemas.microsoft.com/office/drawing/2012/chart" uri="{CE6537A1-D6FC-4f65-9D91-7224C49458BB}"/>
              </c:extLst>
            </c:dLbl>
            <c:dLbl>
              <c:idx val="65"/>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0A-4428-846F-FCE6E7F37BE8}"/>
                </c:ext>
                <c:ext xmlns:c15="http://schemas.microsoft.com/office/drawing/2012/chart" uri="{CE6537A1-D6FC-4f65-9D91-7224C49458BB}"/>
              </c:extLst>
            </c:dLbl>
            <c:dLbl>
              <c:idx val="106"/>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0A-4428-846F-FCE6E7F37BE8}"/>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Correlación!$A$2:$A$109</c:f>
              <c:numCache>
                <c:formatCode>mmm\-yy</c:formatCode>
                <c:ptCount val="108"/>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numCache>
            </c:numRef>
          </c:cat>
          <c:val>
            <c:numRef>
              <c:f>Correlación!$F$2:$F$109</c:f>
              <c:numCache>
                <c:formatCode>0.0%</c:formatCode>
                <c:ptCount val="108"/>
                <c:pt idx="0">
                  <c:v>0.14804922583485819</c:v>
                </c:pt>
                <c:pt idx="1">
                  <c:v>0.14737124495317869</c:v>
                </c:pt>
                <c:pt idx="2">
                  <c:v>0.15249264568499837</c:v>
                </c:pt>
                <c:pt idx="3">
                  <c:v>0.15043752233070437</c:v>
                </c:pt>
                <c:pt idx="4">
                  <c:v>0.15640862518100951</c:v>
                </c:pt>
                <c:pt idx="5">
                  <c:v>0.170932995369945</c:v>
                </c:pt>
                <c:pt idx="6">
                  <c:v>0.18022184765620219</c:v>
                </c:pt>
                <c:pt idx="7">
                  <c:v>0.17571909822666745</c:v>
                </c:pt>
                <c:pt idx="8">
                  <c:v>0.18985775820567047</c:v>
                </c:pt>
                <c:pt idx="9">
                  <c:v>0.1807038652144867</c:v>
                </c:pt>
                <c:pt idx="10">
                  <c:v>0.1663594405980014</c:v>
                </c:pt>
                <c:pt idx="11">
                  <c:v>0.14882227472419976</c:v>
                </c:pt>
                <c:pt idx="12">
                  <c:v>0.15116777333875697</c:v>
                </c:pt>
                <c:pt idx="13">
                  <c:v>0.14601964237025336</c:v>
                </c:pt>
                <c:pt idx="14">
                  <c:v>0.15718004196136084</c:v>
                </c:pt>
                <c:pt idx="15">
                  <c:v>0.15915513124043204</c:v>
                </c:pt>
                <c:pt idx="16">
                  <c:v>0.15172432096834101</c:v>
                </c:pt>
                <c:pt idx="17">
                  <c:v>0.15716586274794392</c:v>
                </c:pt>
                <c:pt idx="18">
                  <c:v>0.16644810757942738</c:v>
                </c:pt>
                <c:pt idx="19">
                  <c:v>0.16249926142512755</c:v>
                </c:pt>
                <c:pt idx="20">
                  <c:v>0.16411016825764091</c:v>
                </c:pt>
                <c:pt idx="21">
                  <c:v>0.17576220301315676</c:v>
                </c:pt>
                <c:pt idx="22">
                  <c:v>0.16579088756798066</c:v>
                </c:pt>
                <c:pt idx="23">
                  <c:v>0.17189128725870609</c:v>
                </c:pt>
                <c:pt idx="24">
                  <c:v>0.1595329281908017</c:v>
                </c:pt>
                <c:pt idx="25">
                  <c:v>0.15368885654562636</c:v>
                </c:pt>
                <c:pt idx="26">
                  <c:v>0.15042919934168766</c:v>
                </c:pt>
                <c:pt idx="27">
                  <c:v>0.14582689698808302</c:v>
                </c:pt>
                <c:pt idx="28">
                  <c:v>0.14797748116730086</c:v>
                </c:pt>
                <c:pt idx="29">
                  <c:v>0.15404605119723366</c:v>
                </c:pt>
                <c:pt idx="30">
                  <c:v>0.14691264903663612</c:v>
                </c:pt>
                <c:pt idx="31">
                  <c:v>0.14797792483833733</c:v>
                </c:pt>
                <c:pt idx="32">
                  <c:v>0.15627139966573378</c:v>
                </c:pt>
                <c:pt idx="33">
                  <c:v>0.17396695680990396</c:v>
                </c:pt>
                <c:pt idx="34">
                  <c:v>0.16840985517191662</c:v>
                </c:pt>
                <c:pt idx="35">
                  <c:v>0.17350538850138622</c:v>
                </c:pt>
                <c:pt idx="36">
                  <c:v>0.16164675725251909</c:v>
                </c:pt>
                <c:pt idx="37">
                  <c:v>0.15959148673156168</c:v>
                </c:pt>
                <c:pt idx="38">
                  <c:v>0.1609060096316498</c:v>
                </c:pt>
                <c:pt idx="39">
                  <c:v>0.16200312017002391</c:v>
                </c:pt>
                <c:pt idx="40">
                  <c:v>0.16091494815635946</c:v>
                </c:pt>
                <c:pt idx="41">
                  <c:v>0.16251621165056973</c:v>
                </c:pt>
                <c:pt idx="42">
                  <c:v>0.16905883636589056</c:v>
                </c:pt>
                <c:pt idx="43">
                  <c:v>0.16661293494164928</c:v>
                </c:pt>
                <c:pt idx="44">
                  <c:v>0.16919791555822064</c:v>
                </c:pt>
                <c:pt idx="45">
                  <c:v>0.16570378872213895</c:v>
                </c:pt>
                <c:pt idx="46">
                  <c:v>0.15343690398191065</c:v>
                </c:pt>
                <c:pt idx="47">
                  <c:v>0.15448572693772208</c:v>
                </c:pt>
                <c:pt idx="48">
                  <c:v>0.15900289086770167</c:v>
                </c:pt>
                <c:pt idx="49">
                  <c:v>0.15018172357387363</c:v>
                </c:pt>
                <c:pt idx="50">
                  <c:v>0.13823091616595901</c:v>
                </c:pt>
                <c:pt idx="51">
                  <c:v>0.13877176633032287</c:v>
                </c:pt>
                <c:pt idx="52">
                  <c:v>0.14260765850451895</c:v>
                </c:pt>
                <c:pt idx="53">
                  <c:v>0.14895430057484413</c:v>
                </c:pt>
                <c:pt idx="54">
                  <c:v>0.14257988664605048</c:v>
                </c:pt>
                <c:pt idx="55">
                  <c:v>0.15369649180268596</c:v>
                </c:pt>
                <c:pt idx="56">
                  <c:v>0.15460133277713112</c:v>
                </c:pt>
                <c:pt idx="57">
                  <c:v>0.14631567450139824</c:v>
                </c:pt>
                <c:pt idx="58">
                  <c:v>0.14400905538531431</c:v>
                </c:pt>
                <c:pt idx="59">
                  <c:v>0.14738293352155324</c:v>
                </c:pt>
                <c:pt idx="60">
                  <c:v>0.14690488649367367</c:v>
                </c:pt>
                <c:pt idx="61">
                  <c:v>0.14233345170037889</c:v>
                </c:pt>
                <c:pt idx="62">
                  <c:v>0.13551899969573164</c:v>
                </c:pt>
                <c:pt idx="63">
                  <c:v>0.13482298536881585</c:v>
                </c:pt>
                <c:pt idx="64">
                  <c:v>0.13569196203355047</c:v>
                </c:pt>
                <c:pt idx="65">
                  <c:v>0.12852365021142775</c:v>
                </c:pt>
                <c:pt idx="66">
                  <c:v>0.13378238821968721</c:v>
                </c:pt>
                <c:pt idx="67">
                  <c:v>0.14682969625473355</c:v>
                </c:pt>
                <c:pt idx="68">
                  <c:v>0.15525079491196209</c:v>
                </c:pt>
                <c:pt idx="69">
                  <c:v>0.14928705048272206</c:v>
                </c:pt>
                <c:pt idx="70">
                  <c:v>0.16051494976852046</c:v>
                </c:pt>
                <c:pt idx="71">
                  <c:v>0.15625570484676785</c:v>
                </c:pt>
                <c:pt idx="72">
                  <c:v>0.15639811054024327</c:v>
                </c:pt>
                <c:pt idx="73">
                  <c:v>0.13972132097932116</c:v>
                </c:pt>
                <c:pt idx="74">
                  <c:v>0.14353863844047032</c:v>
                </c:pt>
                <c:pt idx="75">
                  <c:v>0.14306149515866759</c:v>
                </c:pt>
                <c:pt idx="76">
                  <c:v>0.14275558163450672</c:v>
                </c:pt>
                <c:pt idx="77">
                  <c:v>0.14941150375414014</c:v>
                </c:pt>
                <c:pt idx="78">
                  <c:v>0.15663494385701693</c:v>
                </c:pt>
                <c:pt idx="79">
                  <c:v>0.14446175062068101</c:v>
                </c:pt>
                <c:pt idx="80">
                  <c:v>0.14196262873033769</c:v>
                </c:pt>
                <c:pt idx="81">
                  <c:v>0.14585501792966377</c:v>
                </c:pt>
                <c:pt idx="82">
                  <c:v>0.13303407455998842</c:v>
                </c:pt>
                <c:pt idx="83">
                  <c:v>0.1338125831528936</c:v>
                </c:pt>
                <c:pt idx="84">
                  <c:v>0.12801864133832663</c:v>
                </c:pt>
                <c:pt idx="85">
                  <c:v>0.13203615421355805</c:v>
                </c:pt>
                <c:pt idx="86">
                  <c:v>0.13689446051403351</c:v>
                </c:pt>
                <c:pt idx="87">
                  <c:v>0.14652717965978618</c:v>
                </c:pt>
                <c:pt idx="88">
                  <c:v>0.13738833378566651</c:v>
                </c:pt>
                <c:pt idx="89">
                  <c:v>0.1469034182865967</c:v>
                </c:pt>
                <c:pt idx="90">
                  <c:v>0.14166546209044323</c:v>
                </c:pt>
                <c:pt idx="91">
                  <c:v>0.14355464132050338</c:v>
                </c:pt>
                <c:pt idx="92">
                  <c:v>0.13592132934721726</c:v>
                </c:pt>
                <c:pt idx="93">
                  <c:v>0.13597306739521797</c:v>
                </c:pt>
                <c:pt idx="94">
                  <c:v>0.14452182624760046</c:v>
                </c:pt>
                <c:pt idx="95">
                  <c:v>0.14811305851631279</c:v>
                </c:pt>
                <c:pt idx="96">
                  <c:v>0.14898871886022846</c:v>
                </c:pt>
                <c:pt idx="97">
                  <c:v>0.15064844284669207</c:v>
                </c:pt>
                <c:pt idx="98">
                  <c:v>0.1448779840577534</c:v>
                </c:pt>
                <c:pt idx="99">
                  <c:v>0.1459619942317473</c:v>
                </c:pt>
                <c:pt idx="100">
                  <c:v>0.14590568310351792</c:v>
                </c:pt>
                <c:pt idx="101">
                  <c:v>0.14877966169561063</c:v>
                </c:pt>
                <c:pt idx="102">
                  <c:v>0.15150296136920807</c:v>
                </c:pt>
                <c:pt idx="103">
                  <c:v>0.1525651828963239</c:v>
                </c:pt>
                <c:pt idx="104">
                  <c:v>0.14789985042270803</c:v>
                </c:pt>
                <c:pt idx="105">
                  <c:v>0.148387261330269</c:v>
                </c:pt>
                <c:pt idx="106">
                  <c:v>0.15719212495896706</c:v>
                </c:pt>
                <c:pt idx="107">
                  <c:v>0.14917719552579817</c:v>
                </c:pt>
              </c:numCache>
            </c:numRef>
          </c:val>
          <c:smooth val="0"/>
          <c:extLst xmlns:c16r2="http://schemas.microsoft.com/office/drawing/2015/06/chart">
            <c:ext xmlns:c16="http://schemas.microsoft.com/office/drawing/2014/chart" uri="{C3380CC4-5D6E-409C-BE32-E72D297353CC}">
              <c16:uniqueId val="{00000003-930A-4428-846F-FCE6E7F37BE8}"/>
            </c:ext>
          </c:extLst>
        </c:ser>
        <c:ser>
          <c:idx val="1"/>
          <c:order val="1"/>
          <c:tx>
            <c:strRef>
              <c:f>Correlación!$G$1</c:f>
              <c:strCache>
                <c:ptCount val="1"/>
                <c:pt idx="0">
                  <c:v>Promedio</c:v>
                </c:pt>
              </c:strCache>
            </c:strRef>
          </c:tx>
          <c:marker>
            <c:symbol val="none"/>
          </c:marker>
          <c:cat>
            <c:numRef>
              <c:f>Correlación!$A$2:$A$109</c:f>
              <c:numCache>
                <c:formatCode>mmm\-yy</c:formatCode>
                <c:ptCount val="108"/>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numCache>
            </c:numRef>
          </c:cat>
          <c:val>
            <c:numRef>
              <c:f>Correlación!$G$2:$G$109</c:f>
              <c:numCache>
                <c:formatCode>0.0%</c:formatCode>
                <c:ptCount val="108"/>
                <c:pt idx="0">
                  <c:v>0.15151357730379775</c:v>
                </c:pt>
                <c:pt idx="1">
                  <c:v>0.15151357730379775</c:v>
                </c:pt>
                <c:pt idx="2">
                  <c:v>0.15151357730379775</c:v>
                </c:pt>
                <c:pt idx="3">
                  <c:v>0.15151357730379775</c:v>
                </c:pt>
                <c:pt idx="4">
                  <c:v>0.15151357730379775</c:v>
                </c:pt>
                <c:pt idx="5">
                  <c:v>0.15151357730379775</c:v>
                </c:pt>
                <c:pt idx="6">
                  <c:v>0.15151357730379775</c:v>
                </c:pt>
                <c:pt idx="7">
                  <c:v>0.15151357730379775</c:v>
                </c:pt>
                <c:pt idx="8">
                  <c:v>0.15151357730379775</c:v>
                </c:pt>
                <c:pt idx="9">
                  <c:v>0.15151357730379775</c:v>
                </c:pt>
                <c:pt idx="10">
                  <c:v>0.15151357730379775</c:v>
                </c:pt>
                <c:pt idx="11">
                  <c:v>0.15151357730379775</c:v>
                </c:pt>
                <c:pt idx="12">
                  <c:v>0.15151357730379775</c:v>
                </c:pt>
                <c:pt idx="13">
                  <c:v>0.15151357730379775</c:v>
                </c:pt>
                <c:pt idx="14">
                  <c:v>0.15151357730379775</c:v>
                </c:pt>
                <c:pt idx="15">
                  <c:v>0.15151357730379775</c:v>
                </c:pt>
                <c:pt idx="16">
                  <c:v>0.15151357730379775</c:v>
                </c:pt>
                <c:pt idx="17">
                  <c:v>0.15151357730379775</c:v>
                </c:pt>
                <c:pt idx="18">
                  <c:v>0.15151357730379775</c:v>
                </c:pt>
                <c:pt idx="19">
                  <c:v>0.15151357730379775</c:v>
                </c:pt>
                <c:pt idx="20">
                  <c:v>0.15151357730379775</c:v>
                </c:pt>
                <c:pt idx="21">
                  <c:v>0.15151357730379775</c:v>
                </c:pt>
                <c:pt idx="22">
                  <c:v>0.15151357730379775</c:v>
                </c:pt>
                <c:pt idx="23">
                  <c:v>0.15151357730379775</c:v>
                </c:pt>
                <c:pt idx="24">
                  <c:v>0.15151357730379775</c:v>
                </c:pt>
                <c:pt idx="25">
                  <c:v>0.15151357730379775</c:v>
                </c:pt>
                <c:pt idx="26">
                  <c:v>0.15151357730379775</c:v>
                </c:pt>
                <c:pt idx="27">
                  <c:v>0.15151357730379775</c:v>
                </c:pt>
                <c:pt idx="28">
                  <c:v>0.15151357730379775</c:v>
                </c:pt>
                <c:pt idx="29">
                  <c:v>0.15151357730379775</c:v>
                </c:pt>
                <c:pt idx="30">
                  <c:v>0.15151357730379775</c:v>
                </c:pt>
                <c:pt idx="31">
                  <c:v>0.15151357730379775</c:v>
                </c:pt>
                <c:pt idx="32">
                  <c:v>0.15151357730379775</c:v>
                </c:pt>
                <c:pt idx="33">
                  <c:v>0.15151357730379775</c:v>
                </c:pt>
                <c:pt idx="34">
                  <c:v>0.15151357730379775</c:v>
                </c:pt>
                <c:pt idx="35">
                  <c:v>0.15151357730379775</c:v>
                </c:pt>
                <c:pt idx="36">
                  <c:v>0.15151357730379775</c:v>
                </c:pt>
                <c:pt idx="37">
                  <c:v>0.15151357730379775</c:v>
                </c:pt>
                <c:pt idx="38">
                  <c:v>0.15151357730379775</c:v>
                </c:pt>
                <c:pt idx="39">
                  <c:v>0.15151357730379775</c:v>
                </c:pt>
                <c:pt idx="40">
                  <c:v>0.15151357730379775</c:v>
                </c:pt>
                <c:pt idx="41">
                  <c:v>0.15151357730379775</c:v>
                </c:pt>
                <c:pt idx="42">
                  <c:v>0.15151357730379775</c:v>
                </c:pt>
                <c:pt idx="43">
                  <c:v>0.15151357730379775</c:v>
                </c:pt>
                <c:pt idx="44">
                  <c:v>0.15151357730379775</c:v>
                </c:pt>
                <c:pt idx="45">
                  <c:v>0.15151357730379775</c:v>
                </c:pt>
                <c:pt idx="46">
                  <c:v>0.15151357730379775</c:v>
                </c:pt>
                <c:pt idx="47">
                  <c:v>0.15151357730379775</c:v>
                </c:pt>
                <c:pt idx="48">
                  <c:v>0.15151357730379775</c:v>
                </c:pt>
                <c:pt idx="49">
                  <c:v>0.15151357730379775</c:v>
                </c:pt>
                <c:pt idx="50">
                  <c:v>0.15151357730379775</c:v>
                </c:pt>
                <c:pt idx="51">
                  <c:v>0.15151357730379775</c:v>
                </c:pt>
                <c:pt idx="52">
                  <c:v>0.15151357730379775</c:v>
                </c:pt>
                <c:pt idx="53">
                  <c:v>0.15151357730379775</c:v>
                </c:pt>
                <c:pt idx="54">
                  <c:v>0.15151357730379775</c:v>
                </c:pt>
                <c:pt idx="55">
                  <c:v>0.15151357730379775</c:v>
                </c:pt>
                <c:pt idx="56">
                  <c:v>0.15151357730379775</c:v>
                </c:pt>
                <c:pt idx="57">
                  <c:v>0.15151357730379775</c:v>
                </c:pt>
                <c:pt idx="58">
                  <c:v>0.15151357730379775</c:v>
                </c:pt>
                <c:pt idx="59">
                  <c:v>0.15151357730379775</c:v>
                </c:pt>
                <c:pt idx="60">
                  <c:v>0.15151357730379775</c:v>
                </c:pt>
                <c:pt idx="61">
                  <c:v>0.15151357730379775</c:v>
                </c:pt>
                <c:pt idx="62">
                  <c:v>0.15151357730379775</c:v>
                </c:pt>
                <c:pt idx="63">
                  <c:v>0.15151357730379775</c:v>
                </c:pt>
                <c:pt idx="64">
                  <c:v>0.15151357730379775</c:v>
                </c:pt>
                <c:pt idx="65">
                  <c:v>0.15151357730379775</c:v>
                </c:pt>
                <c:pt idx="66">
                  <c:v>0.15151357730379775</c:v>
                </c:pt>
                <c:pt idx="67">
                  <c:v>0.15151357730379775</c:v>
                </c:pt>
                <c:pt idx="68">
                  <c:v>0.15151357730379775</c:v>
                </c:pt>
                <c:pt idx="69">
                  <c:v>0.15151357730379775</c:v>
                </c:pt>
                <c:pt idx="70">
                  <c:v>0.15151357730379775</c:v>
                </c:pt>
                <c:pt idx="71">
                  <c:v>0.15151357730379775</c:v>
                </c:pt>
                <c:pt idx="72">
                  <c:v>0.15151357730379775</c:v>
                </c:pt>
                <c:pt idx="73">
                  <c:v>0.15151357730379775</c:v>
                </c:pt>
                <c:pt idx="74">
                  <c:v>0.15151357730379775</c:v>
                </c:pt>
                <c:pt idx="75">
                  <c:v>0.15151357730379775</c:v>
                </c:pt>
                <c:pt idx="76">
                  <c:v>0.15151357730379775</c:v>
                </c:pt>
                <c:pt idx="77">
                  <c:v>0.15151357730379775</c:v>
                </c:pt>
                <c:pt idx="78">
                  <c:v>0.15151357730379775</c:v>
                </c:pt>
                <c:pt idx="79">
                  <c:v>0.15151357730379775</c:v>
                </c:pt>
                <c:pt idx="80">
                  <c:v>0.15151357730379775</c:v>
                </c:pt>
                <c:pt idx="81">
                  <c:v>0.15151357730379775</c:v>
                </c:pt>
                <c:pt idx="82">
                  <c:v>0.15151357730379775</c:v>
                </c:pt>
                <c:pt idx="83">
                  <c:v>0.15151357730379775</c:v>
                </c:pt>
                <c:pt idx="84">
                  <c:v>0.15151357730379775</c:v>
                </c:pt>
                <c:pt idx="85">
                  <c:v>0.15151357730379775</c:v>
                </c:pt>
                <c:pt idx="86">
                  <c:v>0.15151357730379775</c:v>
                </c:pt>
                <c:pt idx="87">
                  <c:v>0.15151357730379775</c:v>
                </c:pt>
                <c:pt idx="88">
                  <c:v>0.15151357730379775</c:v>
                </c:pt>
                <c:pt idx="89">
                  <c:v>0.15151357730379775</c:v>
                </c:pt>
                <c:pt idx="90">
                  <c:v>0.15151357730379775</c:v>
                </c:pt>
                <c:pt idx="91">
                  <c:v>0.15151357730379775</c:v>
                </c:pt>
                <c:pt idx="92">
                  <c:v>0.15151357730379775</c:v>
                </c:pt>
                <c:pt idx="93">
                  <c:v>0.15151357730379775</c:v>
                </c:pt>
                <c:pt idx="94">
                  <c:v>0.15151357730379775</c:v>
                </c:pt>
                <c:pt idx="95">
                  <c:v>0.15151357730379775</c:v>
                </c:pt>
                <c:pt idx="96">
                  <c:v>0.15151357730379775</c:v>
                </c:pt>
                <c:pt idx="97">
                  <c:v>0.15151357730379775</c:v>
                </c:pt>
                <c:pt idx="98">
                  <c:v>0.15151357730379775</c:v>
                </c:pt>
                <c:pt idx="99">
                  <c:v>0.15151357730379775</c:v>
                </c:pt>
                <c:pt idx="100">
                  <c:v>0.15151357730379775</c:v>
                </c:pt>
                <c:pt idx="101">
                  <c:v>0.15151357730379775</c:v>
                </c:pt>
                <c:pt idx="102">
                  <c:v>0.15151357730379775</c:v>
                </c:pt>
                <c:pt idx="103">
                  <c:v>0.15151357730379775</c:v>
                </c:pt>
                <c:pt idx="104">
                  <c:v>0.15151357730379775</c:v>
                </c:pt>
                <c:pt idx="105">
                  <c:v>0.15151357730379775</c:v>
                </c:pt>
                <c:pt idx="106">
                  <c:v>0.15151357730379775</c:v>
                </c:pt>
                <c:pt idx="107">
                  <c:v>0.15151357730379775</c:v>
                </c:pt>
              </c:numCache>
            </c:numRef>
          </c:val>
          <c:smooth val="0"/>
          <c:extLst xmlns:c16r2="http://schemas.microsoft.com/office/drawing/2015/06/chart">
            <c:ext xmlns:c16="http://schemas.microsoft.com/office/drawing/2014/chart" uri="{C3380CC4-5D6E-409C-BE32-E72D297353CC}">
              <c16:uniqueId val="{00000004-930A-4428-846F-FCE6E7F37BE8}"/>
            </c:ext>
          </c:extLst>
        </c:ser>
        <c:dLbls>
          <c:showLegendKey val="0"/>
          <c:showVal val="0"/>
          <c:showCatName val="0"/>
          <c:showSerName val="0"/>
          <c:showPercent val="0"/>
          <c:showBubbleSize val="0"/>
        </c:dLbls>
        <c:smooth val="0"/>
        <c:axId val="-102392736"/>
        <c:axId val="-102391104"/>
      </c:lineChart>
      <c:dateAx>
        <c:axId val="-102392736"/>
        <c:scaling>
          <c:orientation val="minMax"/>
        </c:scaling>
        <c:delete val="0"/>
        <c:axPos val="b"/>
        <c:numFmt formatCode="mmm\-yy" sourceLinked="1"/>
        <c:majorTickMark val="out"/>
        <c:minorTickMark val="none"/>
        <c:tickLblPos val="nextTo"/>
        <c:crossAx val="-102391104"/>
        <c:crosses val="autoZero"/>
        <c:auto val="1"/>
        <c:lblOffset val="100"/>
        <c:baseTimeUnit val="months"/>
      </c:dateAx>
      <c:valAx>
        <c:axId val="-102391104"/>
        <c:scaling>
          <c:orientation val="minMax"/>
          <c:min val="0.1"/>
        </c:scaling>
        <c:delete val="0"/>
        <c:axPos val="l"/>
        <c:numFmt formatCode="0%" sourceLinked="0"/>
        <c:majorTickMark val="out"/>
        <c:minorTickMark val="none"/>
        <c:tickLblPos val="nextTo"/>
        <c:crossAx val="-10239273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80192423934181"/>
          <c:y val="5.5215965322309629E-2"/>
          <c:w val="0.84014822051253468"/>
          <c:h val="0.79552755905511807"/>
        </c:manualLayout>
      </c:layout>
      <c:bar3DChart>
        <c:barDir val="col"/>
        <c:grouping val="clustered"/>
        <c:varyColors val="0"/>
        <c:ser>
          <c:idx val="0"/>
          <c:order val="0"/>
          <c:tx>
            <c:strRef>
              <c:f>'EXPORT-IMPORT'!$A$3</c:f>
              <c:strCache>
                <c:ptCount val="1"/>
                <c:pt idx="0">
                  <c:v>Exportaciones </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'EXPORT-IMPORT'!$B$1:$J$1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'EXPORT-IMPORT'!$B$3:$J$3</c:f>
              <c:numCache>
                <c:formatCode>_-* #,##0_-;\-* #,##0_-;_-* "-"??_-;_-@_-</c:formatCode>
                <c:ptCount val="9"/>
                <c:pt idx="0">
                  <c:v>110440.43634000001</c:v>
                </c:pt>
                <c:pt idx="1">
                  <c:v>141555.16300999999</c:v>
                </c:pt>
                <c:pt idx="2">
                  <c:v>171370.83632999999</c:v>
                </c:pt>
                <c:pt idx="3">
                  <c:v>128648.35900999997</c:v>
                </c:pt>
                <c:pt idx="4">
                  <c:v>117632.86</c:v>
                </c:pt>
                <c:pt idx="5">
                  <c:v>116558.77200000001</c:v>
                </c:pt>
                <c:pt idx="6">
                  <c:v>120685.87200000002</c:v>
                </c:pt>
                <c:pt idx="7">
                  <c:v>149842.897</c:v>
                </c:pt>
                <c:pt idx="8">
                  <c:v>191128.69700000001</c:v>
                </c:pt>
              </c:numCache>
            </c:numRef>
          </c:val>
          <c:extLst xmlns:c16r2="http://schemas.microsoft.com/office/drawing/2015/06/chart">
            <c:ext xmlns:c16="http://schemas.microsoft.com/office/drawing/2014/chart" uri="{C3380CC4-5D6E-409C-BE32-E72D297353CC}">
              <c16:uniqueId val="{00000000-CCF9-4CBA-A9C2-5A45284CB42A}"/>
            </c:ext>
          </c:extLst>
        </c:ser>
        <c:ser>
          <c:idx val="1"/>
          <c:order val="1"/>
          <c:tx>
            <c:strRef>
              <c:f>'EXPORT-IMPORT'!$A$4</c:f>
              <c:strCache>
                <c:ptCount val="1"/>
                <c:pt idx="0">
                  <c:v>Importaciones </c:v>
                </c:pt>
              </c:strCache>
            </c:strRef>
          </c:tx>
          <c:spPr>
            <a:solidFill>
              <a:schemeClr val="accent2"/>
            </a:solidFill>
            <a:ln>
              <a:noFill/>
            </a:ln>
            <a:effectLst/>
            <a:sp3d/>
          </c:spPr>
          <c:invertIfNegative val="0"/>
          <c:dLbls>
            <c:dLbl>
              <c:idx val="0"/>
              <c:layout>
                <c:manualLayout>
                  <c:x val="1.0802470448438618E-2"/>
                  <c:y val="-8.34308513248170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F9-4CBA-A9C2-5A45284CB42A}"/>
                </c:ext>
                <c:ext xmlns:c15="http://schemas.microsoft.com/office/drawing/2012/chart" uri="{CE6537A1-D6FC-4f65-9D91-7224C49458BB}"/>
              </c:extLst>
            </c:dLbl>
            <c:dLbl>
              <c:idx val="1"/>
              <c:layout>
                <c:manualLayout>
                  <c:x val="1.08024704484386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F9-4CBA-A9C2-5A45284CB42A}"/>
                </c:ext>
                <c:ext xmlns:c15="http://schemas.microsoft.com/office/drawing/2012/chart" uri="{CE6537A1-D6FC-4f65-9D91-7224C49458BB}"/>
              </c:extLst>
            </c:dLbl>
            <c:dLbl>
              <c:idx val="2"/>
              <c:layout>
                <c:manualLayout>
                  <c:x val="1.0802470448438618E-2"/>
                  <c:y val="-3.5833277791752755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F9-4CBA-A9C2-5A45284CB42A}"/>
                </c:ext>
                <c:ext xmlns:c15="http://schemas.microsoft.com/office/drawing/2012/chart" uri="{CE6537A1-D6FC-4f65-9D91-7224C49458BB}"/>
              </c:extLst>
            </c:dLbl>
            <c:dLbl>
              <c:idx val="3"/>
              <c:layout>
                <c:manualLayout>
                  <c:x val="1.296296453812634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F9-4CBA-A9C2-5A45284CB42A}"/>
                </c:ext>
                <c:ext xmlns:c15="http://schemas.microsoft.com/office/drawing/2012/chart" uri="{CE6537A1-D6FC-4f65-9D91-7224C49458BB}"/>
              </c:extLst>
            </c:dLbl>
            <c:dLbl>
              <c:idx val="4"/>
              <c:layout>
                <c:manualLayout>
                  <c:x val="6.4814822690631704E-3"/>
                  <c:y val="8.34308513248170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F9-4CBA-A9C2-5A45284CB42A}"/>
                </c:ext>
                <c:ext xmlns:c15="http://schemas.microsoft.com/office/drawing/2012/chart" uri="{CE6537A1-D6FC-4f65-9D91-7224C49458BB}"/>
              </c:extLst>
            </c:dLbl>
            <c:dLbl>
              <c:idx val="5"/>
              <c:layout>
                <c:manualLayout>
                  <c:x val="8.6419763587508944E-3"/>
                  <c:y val="-8.34308513248170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F9-4CBA-A9C2-5A45284CB42A}"/>
                </c:ext>
                <c:ext xmlns:c15="http://schemas.microsoft.com/office/drawing/2012/chart" uri="{CE6537A1-D6FC-4f65-9D91-7224C49458BB}"/>
              </c:extLst>
            </c:dLbl>
            <c:dLbl>
              <c:idx val="6"/>
              <c:layout>
                <c:manualLayout>
                  <c:x val="1.08024704484386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F9-4CBA-A9C2-5A45284CB42A}"/>
                </c:ext>
                <c:ext xmlns:c15="http://schemas.microsoft.com/office/drawing/2012/chart" uri="{CE6537A1-D6FC-4f65-9D91-7224C49458BB}"/>
              </c:extLst>
            </c:dLbl>
            <c:dLbl>
              <c:idx val="7"/>
              <c:layout>
                <c:manualLayout>
                  <c:x val="8.641976358750894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CF9-4CBA-A9C2-5A45284CB42A}"/>
                </c:ext>
                <c:ext xmlns:c15="http://schemas.microsoft.com/office/drawing/2012/chart" uri="{CE6537A1-D6FC-4f65-9D91-7224C49458BB}"/>
              </c:extLst>
            </c:dLbl>
            <c:dLbl>
              <c:idx val="8"/>
              <c:layout>
                <c:manualLayout>
                  <c:x val="6.4814822690631704E-3"/>
                  <c:y val="-8.34308513248170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CF9-4CBA-A9C2-5A45284CB42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'EXPORT-IMPORT'!$B$1:$J$1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'EXPORT-IMPORT'!$B$4:$J$4</c:f>
              <c:numCache>
                <c:formatCode>_-* #,##0_-;\-* #,##0_-;_-* "-"??_-;_-@_-</c:formatCode>
                <c:ptCount val="9"/>
                <c:pt idx="0">
                  <c:v>11258.165999999999</c:v>
                </c:pt>
                <c:pt idx="1">
                  <c:v>21944.982000000004</c:v>
                </c:pt>
                <c:pt idx="2">
                  <c:v>28075.482000000004</c:v>
                </c:pt>
                <c:pt idx="3">
                  <c:v>33767.39</c:v>
                </c:pt>
                <c:pt idx="4">
                  <c:v>34600.525000000001</c:v>
                </c:pt>
                <c:pt idx="5">
                  <c:v>9065.7230000000018</c:v>
                </c:pt>
                <c:pt idx="6">
                  <c:v>58409.965999999993</c:v>
                </c:pt>
                <c:pt idx="7">
                  <c:v>55648.547999999995</c:v>
                </c:pt>
                <c:pt idx="8">
                  <c:v>54196.08</c:v>
                </c:pt>
              </c:numCache>
            </c:numRef>
          </c:val>
          <c:extLst xmlns:c16r2="http://schemas.microsoft.com/office/drawing/2015/06/chart">
            <c:ext xmlns:c16="http://schemas.microsoft.com/office/drawing/2014/chart" uri="{C3380CC4-5D6E-409C-BE32-E72D297353CC}">
              <c16:uniqueId val="{0000000A-CCF9-4CBA-A9C2-5A45284CB42A}"/>
            </c:ext>
          </c:extLst>
        </c:ser>
        <c:dLbls>
          <c:showLegendKey val="0"/>
          <c:showVal val="0"/>
          <c:showCatName val="0"/>
          <c:showSerName val="0"/>
          <c:showPercent val="0"/>
          <c:showBubbleSize val="0"/>
        </c:dLbls>
        <c:gapWidth val="150"/>
        <c:shape val="box"/>
        <c:axId val="-102389472"/>
        <c:axId val="-102390560"/>
        <c:axId val="0"/>
      </c:bar3DChart>
      <c:catAx>
        <c:axId val="-102389472"/>
        <c:scaling>
          <c:orientation val="minMax"/>
        </c:scaling>
        <c:delete val="0"/>
        <c:axPos val="b"/>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2390560"/>
        <c:crosses val="autoZero"/>
        <c:auto val="1"/>
        <c:lblAlgn val="ctr"/>
        <c:lblOffset val="100"/>
        <c:noMultiLvlLbl val="0"/>
      </c:catAx>
      <c:valAx>
        <c:axId val="-102390560"/>
        <c:scaling>
          <c:orientation val="minMax"/>
        </c:scaling>
        <c:delete val="0"/>
        <c:axPos val="l"/>
        <c:majorGridlines>
          <c:spPr>
            <a:ln w="9525" cap="flat" cmpd="sng" algn="ctr">
              <a:solidFill>
                <a:schemeClr val="bg1"/>
              </a:solidFill>
              <a:round/>
            </a:ln>
            <a:effectLst/>
          </c:spPr>
        </c:majorGridlines>
        <c:title>
          <c:tx>
            <c:rich>
              <a:bodyPr rot="-5400000" vert="horz"/>
              <a:lstStyle/>
              <a:p>
                <a:pPr>
                  <a:defRPr/>
                </a:pPr>
                <a:r>
                  <a:rPr lang="es-CR"/>
                  <a:t>Miles de TM</a:t>
                </a:r>
              </a:p>
            </c:rich>
          </c:tx>
          <c:overlay val="0"/>
        </c:title>
        <c:numFmt formatCode="_-* #,##0_-;\-* #,##0_-;_-* &quot;-&quot;??_-;_-@_-"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2389472"/>
        <c:crosses val="autoZero"/>
        <c:crossBetween val="between"/>
        <c:dispUnits>
          <c:builtInUnit val="thousands"/>
        </c:dispUnits>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Sheet1!$M$2</c:f>
              <c:strCache>
                <c:ptCount val="1"/>
                <c:pt idx="0">
                  <c:v>Porcentaje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44-467B-A78C-55F108B3F1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44-467B-A78C-55F108B3F1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44-467B-A78C-55F108B3F1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44-467B-A78C-55F108B3F1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44-467B-A78C-55F108B3F16D}"/>
              </c:ext>
            </c:extLst>
          </c:dPt>
          <c:dLbls>
            <c:dLbl>
              <c:idx val="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44-467B-A78C-55F108B3F16D}"/>
                </c:ext>
                <c:ext xmlns:c15="http://schemas.microsoft.com/office/drawing/2012/chart" uri="{CE6537A1-D6FC-4f65-9D91-7224C49458BB}">
                  <c15:spPr xmlns:c15="http://schemas.microsoft.com/office/drawing/2012/chart">
                    <a:prstGeom prst="rect">
                      <a:avLst/>
                    </a:prstGeom>
                  </c15:spPr>
                </c:ext>
              </c:extLst>
            </c:dLbl>
            <c:dLbl>
              <c:idx val="4"/>
              <c:layout>
                <c:manualLayout>
                  <c:x val="1.6756433273488927E-2"/>
                  <c:y val="-3.302373366332797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744-467B-A78C-55F108B3F1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Sheet1!$L$3:$L$7</c:f>
              <c:strCache>
                <c:ptCount val="5"/>
                <c:pt idx="0">
                  <c:v>Brunca</c:v>
                </c:pt>
                <c:pt idx="1">
                  <c:v>Pacífico Central </c:v>
                </c:pt>
                <c:pt idx="2">
                  <c:v>Huetar Atlántica</c:v>
                </c:pt>
                <c:pt idx="3">
                  <c:v>Central Sur</c:v>
                </c:pt>
                <c:pt idx="4">
                  <c:v>Huetar Norte</c:v>
                </c:pt>
              </c:strCache>
            </c:strRef>
          </c:cat>
          <c:val>
            <c:numRef>
              <c:f>Sheet1!$M$3:$M$7</c:f>
              <c:numCache>
                <c:formatCode>0%</c:formatCode>
                <c:ptCount val="5"/>
                <c:pt idx="0">
                  <c:v>0.64510000000000001</c:v>
                </c:pt>
                <c:pt idx="1">
                  <c:v>0.22900000000000001</c:v>
                </c:pt>
                <c:pt idx="2">
                  <c:v>9.7799999999999998E-2</c:v>
                </c:pt>
                <c:pt idx="3">
                  <c:v>1.6199999999999999E-2</c:v>
                </c:pt>
                <c:pt idx="4">
                  <c:v>1.2E-2</c:v>
                </c:pt>
              </c:numCache>
            </c:numRef>
          </c:val>
          <c:extLst xmlns:c16r2="http://schemas.microsoft.com/office/drawing/2015/06/chart">
            <c:ext xmlns:c16="http://schemas.microsoft.com/office/drawing/2014/chart" uri="{C3380CC4-5D6E-409C-BE32-E72D297353CC}">
              <c16:uniqueId val="{0000000A-C744-467B-A78C-55F108B3F1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6"/>
              <c:layout>
                <c:manualLayout>
                  <c:x val="-4.7449584816132862E-3"/>
                  <c:y val="-5.28925528049191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AE-4CB7-8D6F-C80C9C35CA8E}"/>
                </c:ext>
                <c:ext xmlns:c15="http://schemas.microsoft.com/office/drawing/2012/chart" uri="{CE6537A1-D6FC-4f65-9D91-7224C49458BB}"/>
              </c:extLst>
            </c:dLbl>
            <c:dLbl>
              <c:idx val="7"/>
              <c:layout>
                <c:manualLayout>
                  <c:x val="-1.7397980116297785E-16"/>
                  <c:y val="-8.3746541941122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AE-4CB7-8D6F-C80C9C35CA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'PALMA ACEITERA, 2019'!$I$8:$Q$8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'PALMA ACEITERA, 2019'!$I$13:$Q$13</c:f>
              <c:numCache>
                <c:formatCode>[$-10409]#,##0;\-#,##0</c:formatCode>
                <c:ptCount val="9"/>
                <c:pt idx="0">
                  <c:v>955.8</c:v>
                </c:pt>
                <c:pt idx="1">
                  <c:v>1050</c:v>
                </c:pt>
                <c:pt idx="2">
                  <c:v>1111</c:v>
                </c:pt>
                <c:pt idx="3">
                  <c:v>1304</c:v>
                </c:pt>
                <c:pt idx="4">
                  <c:v>884.4</c:v>
                </c:pt>
                <c:pt idx="5">
                  <c:v>816</c:v>
                </c:pt>
                <c:pt idx="6">
                  <c:v>1089</c:v>
                </c:pt>
                <c:pt idx="7">
                  <c:v>1095.8</c:v>
                </c:pt>
                <c:pt idx="8">
                  <c:v>1087.8</c:v>
                </c:pt>
              </c:numCache>
            </c:numRef>
          </c:val>
          <c:smooth val="0"/>
          <c:extLst xmlns:c16r2="http://schemas.microsoft.com/office/drawing/2015/06/chart">
            <c:ext xmlns:c16="http://schemas.microsoft.com/office/drawing/2014/chart" uri="{C3380CC4-5D6E-409C-BE32-E72D297353CC}">
              <c16:uniqueId val="{00000002-11AE-4CB7-8D6F-C80C9C35CA8E}"/>
            </c:ext>
          </c:extLst>
        </c:ser>
        <c:dLbls>
          <c:showLegendKey val="0"/>
          <c:showVal val="0"/>
          <c:showCatName val="0"/>
          <c:showSerName val="0"/>
          <c:showPercent val="0"/>
          <c:showBubbleSize val="0"/>
        </c:dLbls>
        <c:marker val="1"/>
        <c:smooth val="0"/>
        <c:axId val="-167785600"/>
        <c:axId val="-195959984"/>
      </c:lineChart>
      <c:catAx>
        <c:axId val="-167785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5959984"/>
        <c:crosses val="autoZero"/>
        <c:auto val="1"/>
        <c:lblAlgn val="ctr"/>
        <c:lblOffset val="100"/>
        <c:noMultiLvlLbl val="0"/>
      </c:catAx>
      <c:valAx>
        <c:axId val="-19595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R"/>
                  <a:t>Toneldas</a:t>
                </a:r>
                <a:r>
                  <a:rPr lang="es-CR" baseline="0"/>
                  <a:t> métricas </a:t>
                </a:r>
                <a:endParaRPr lang="es-C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itle>
        <c:numFmt formatCode="[$-1040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7785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82668969821525"/>
          <c:y val="7.4381973309997809E-2"/>
          <c:w val="0.80795265893819967"/>
          <c:h val="0.72402806463893388"/>
        </c:manualLayout>
      </c:layout>
      <c:lineChart>
        <c:grouping val="standard"/>
        <c:varyColors val="0"/>
        <c:ser>
          <c:idx val="0"/>
          <c:order val="0"/>
          <c:tx>
            <c:strRef>
              <c:f>Rendimiento!$D$22</c:f>
              <c:strCache>
                <c:ptCount val="1"/>
                <c:pt idx="0">
                  <c:v>Fruta (t/ha/año)</c:v>
                </c:pt>
              </c:strCache>
            </c:strRef>
          </c:tx>
          <c:spPr>
            <a:ln w="28575" cap="rnd">
              <a:solidFill>
                <a:schemeClr val="accent1"/>
              </a:solidFill>
              <a:round/>
            </a:ln>
            <a:effectLst/>
          </c:spPr>
          <c:marker>
            <c:symbol val="circle"/>
            <c:size val="5"/>
            <c:spPr>
              <a:solidFill>
                <a:schemeClr val="accent1"/>
              </a:solidFill>
              <a:ln w="28575">
                <a:solidFill>
                  <a:schemeClr val="accent1"/>
                </a:solidFill>
              </a:ln>
              <a:effectLst/>
            </c:spPr>
          </c:marker>
          <c:dLbls>
            <c:dLbl>
              <c:idx val="0"/>
              <c:layout>
                <c:manualLayout>
                  <c:x val="-2.7617951668584592E-2"/>
                  <c:y val="0.120554550934297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7E-454C-AF83-C163812BBDC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657E-454C-AF83-C163812BBDC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657E-454C-AF83-C163812BBDC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657E-454C-AF83-C163812BBDC7}"/>
                </c:ext>
                <c:ext xmlns:c15="http://schemas.microsoft.com/office/drawing/2012/chart" uri="{CE6537A1-D6FC-4f65-9D91-7224C49458BB}"/>
              </c:extLst>
            </c:dLbl>
            <c:dLbl>
              <c:idx val="6"/>
              <c:layout>
                <c:manualLayout>
                  <c:x val="-3.6823935558112857E-2"/>
                  <c:y val="-8.4388185654008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7E-454C-AF83-C163812BBDC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5-657E-454C-AF83-C163812BBDC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Tendencia</c:name>
            <c:spPr>
              <a:ln w="19050" cap="rnd">
                <a:solidFill>
                  <a:schemeClr val="tx1"/>
                </a:solidFill>
                <a:prstDash val="sysDot"/>
                <a:tailEnd type="stealth"/>
              </a:ln>
              <a:effectLst/>
            </c:spPr>
            <c:trendlineType val="log"/>
            <c:dispRSqr val="1"/>
            <c:dispEq val="1"/>
            <c:trendlineLbl>
              <c:layout>
                <c:manualLayout>
                  <c:x val="5.3189927783768107E-3"/>
                  <c:y val="0.118620931877186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rendlineLbl>
          </c:trendline>
          <c:cat>
            <c:numRef>
              <c:f>Rendimiento!$C$23:$C$31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Rendimiento!$D$23:$D$31</c:f>
              <c:numCache>
                <c:formatCode>General</c:formatCode>
                <c:ptCount val="9"/>
                <c:pt idx="0">
                  <c:v>17.899999999999999</c:v>
                </c:pt>
                <c:pt idx="1">
                  <c:v>18.600000000000001</c:v>
                </c:pt>
                <c:pt idx="2">
                  <c:v>18.100000000000001</c:v>
                </c:pt>
                <c:pt idx="3">
                  <c:v>19.2</c:v>
                </c:pt>
                <c:pt idx="4">
                  <c:v>14.4</c:v>
                </c:pt>
                <c:pt idx="5">
                  <c:v>14</c:v>
                </c:pt>
                <c:pt idx="6">
                  <c:v>17.899999999999999</c:v>
                </c:pt>
                <c:pt idx="7">
                  <c:v>17.2</c:v>
                </c:pt>
                <c:pt idx="8">
                  <c:v>16.7</c:v>
                </c:pt>
              </c:numCache>
            </c:numRef>
          </c:val>
          <c:smooth val="0"/>
          <c:extLst xmlns:c16r2="http://schemas.microsoft.com/office/drawing/2015/06/chart">
            <c:ext xmlns:c16="http://schemas.microsoft.com/office/drawing/2014/chart" uri="{C3380CC4-5D6E-409C-BE32-E72D297353CC}">
              <c16:uniqueId val="{00000006-657E-454C-AF83-C163812BBDC7}"/>
            </c:ext>
          </c:extLst>
        </c:ser>
        <c:dLbls>
          <c:showLegendKey val="0"/>
          <c:showVal val="0"/>
          <c:showCatName val="0"/>
          <c:showSerName val="0"/>
          <c:showPercent val="0"/>
          <c:showBubbleSize val="0"/>
        </c:dLbls>
        <c:marker val="1"/>
        <c:smooth val="0"/>
        <c:axId val="-195959440"/>
        <c:axId val="-195969776"/>
      </c:lineChart>
      <c:catAx>
        <c:axId val="-1959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5969776"/>
        <c:crosses val="autoZero"/>
        <c:auto val="1"/>
        <c:lblAlgn val="ctr"/>
        <c:lblOffset val="100"/>
        <c:noMultiLvlLbl val="0"/>
      </c:catAx>
      <c:valAx>
        <c:axId val="-195969776"/>
        <c:scaling>
          <c:orientation val="minMax"/>
          <c:min val="10"/>
        </c:scaling>
        <c:delete val="0"/>
        <c:axPos val="l"/>
        <c:title>
          <c:tx>
            <c:rich>
              <a:bodyPr rot="-5400000" vert="horz"/>
              <a:lstStyle/>
              <a:p>
                <a:pPr>
                  <a:defRPr/>
                </a:pPr>
                <a:r>
                  <a:rPr lang="es-CR"/>
                  <a:t>TM/Ha</a:t>
                </a:r>
              </a:p>
            </c:rich>
          </c:tx>
          <c:layout>
            <c:manualLayout>
              <c:xMode val="edge"/>
              <c:yMode val="edge"/>
              <c:x val="3.4582939143870915E-2"/>
              <c:y val="0.35933865847167268"/>
            </c:manualLayout>
          </c:layout>
          <c:overlay val="0"/>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595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26-4A2B-B88F-BA1CCBB5C52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26-4A2B-B88F-BA1CCBB5C52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26-4A2B-B88F-BA1CCBB5C52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526-4A2B-B88F-BA1CCBB5C52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526-4A2B-B88F-BA1CCBB5C52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526-4A2B-B88F-BA1CCBB5C5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'Extracción por Tipo'!$B$43:$G$43</c:f>
              <c:strCache>
                <c:ptCount val="6"/>
                <c:pt idx="0">
                  <c:v>Aceite crudo %</c:v>
                </c:pt>
                <c:pt idx="1">
                  <c:v>Fibra (Tusa) %</c:v>
                </c:pt>
                <c:pt idx="2">
                  <c:v>Pinzote %</c:v>
                </c:pt>
                <c:pt idx="3">
                  <c:v>Coquito %</c:v>
                </c:pt>
                <c:pt idx="4">
                  <c:v>Harina de endocarpo %</c:v>
                </c:pt>
                <c:pt idx="5">
                  <c:v>Aceite Palmiste %</c:v>
                </c:pt>
              </c:strCache>
            </c:strRef>
          </c:cat>
          <c:val>
            <c:numRef>
              <c:f>'Extracción por Tipo'!$B$54:$G$54</c:f>
              <c:numCache>
                <c:formatCode>0%</c:formatCode>
                <c:ptCount val="6"/>
                <c:pt idx="0">
                  <c:v>0.43666550597648418</c:v>
                </c:pt>
                <c:pt idx="1">
                  <c:v>0.29213773637965812</c:v>
                </c:pt>
                <c:pt idx="2">
                  <c:v>8.8915179026479552E-2</c:v>
                </c:pt>
                <c:pt idx="3">
                  <c:v>9.2658303920852572E-2</c:v>
                </c:pt>
                <c:pt idx="4">
                  <c:v>5.5823255604430279E-2</c:v>
                </c:pt>
                <c:pt idx="5">
                  <c:v>3.3800019092095346E-2</c:v>
                </c:pt>
              </c:numCache>
            </c:numRef>
          </c:val>
          <c:extLst xmlns:c16r2="http://schemas.microsoft.com/office/drawing/2015/06/chart">
            <c:ext xmlns:c16="http://schemas.microsoft.com/office/drawing/2014/chart" uri="{C3380CC4-5D6E-409C-BE32-E72D297353CC}">
              <c16:uniqueId val="{0000000C-3526-4A2B-B88F-BA1CCBB5C5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3377570431044"/>
          <c:y val="4.7321562404785876E-2"/>
          <c:w val="0.86135768489711306"/>
          <c:h val="0.75003045219136577"/>
        </c:manualLayout>
      </c:layout>
      <c:lineChart>
        <c:grouping val="standard"/>
        <c:varyColors val="0"/>
        <c:ser>
          <c:idx val="0"/>
          <c:order val="0"/>
          <c:tx>
            <c:strRef>
              <c:f>Rendimiento!$E$22</c:f>
              <c:strCache>
                <c:ptCount val="1"/>
                <c:pt idx="0">
                  <c:v>Aceite por área (t/ha/año)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6184241847179254E-2"/>
                  <c:y val="0.10996119016817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FC-4B22-9916-A44E65D1A1F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AFC-4B22-9916-A44E65D1A1F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AFC-4B22-9916-A44E65D1A1FD}"/>
                </c:ext>
                <c:ext xmlns:c15="http://schemas.microsoft.com/office/drawing/2012/chart" uri="{CE6537A1-D6FC-4f65-9D91-7224C49458BB}"/>
              </c:extLst>
            </c:dLbl>
            <c:dLbl>
              <c:idx val="3"/>
              <c:layout>
                <c:manualLayout>
                  <c:x val="-9.5215424898833605E-3"/>
                  <c:y val="-7.7619663648124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FC-4B22-9916-A44E65D1A1F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5AFC-4B22-9916-A44E65D1A1FD}"/>
                </c:ext>
                <c:ext xmlns:c15="http://schemas.microsoft.com/office/drawing/2012/chart" uri="{CE6537A1-D6FC-4f65-9D91-7224C49458BB}"/>
              </c:extLst>
            </c:dLbl>
            <c:dLbl>
              <c:idx val="5"/>
              <c:layout>
                <c:manualLayout>
                  <c:x val="-9.5215424898833605E-3"/>
                  <c:y val="8.4087968952134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AFC-4B22-9916-A44E65D1A1FD}"/>
                </c:ext>
                <c:ext xmlns:c15="http://schemas.microsoft.com/office/drawing/2012/chart" uri="{CE6537A1-D6FC-4f65-9D91-7224C49458BB}"/>
              </c:extLst>
            </c:dLbl>
            <c:dLbl>
              <c:idx val="6"/>
              <c:layout>
                <c:manualLayout>
                  <c:x val="-4.0466555582004286E-2"/>
                  <c:y val="-7.1151358344113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FC-4B22-9916-A44E65D1A1F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AFC-4B22-9916-A44E65D1A1FD}"/>
                </c:ext>
                <c:ext xmlns:c15="http://schemas.microsoft.com/office/drawing/2012/chart" uri="{CE6537A1-D6FC-4f65-9D91-7224C49458BB}"/>
              </c:extLst>
            </c:dLbl>
            <c:dLbl>
              <c:idx val="8"/>
              <c:layout>
                <c:manualLayout>
                  <c:x val="-3.5705784337062778E-2"/>
                  <c:y val="-7.1151358344113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AFC-4B22-9916-A44E65D1A1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Tendencia</c:name>
            <c:spPr>
              <a:ln w="19050" cap="rnd">
                <a:solidFill>
                  <a:schemeClr val="tx1"/>
                </a:solidFill>
                <a:prstDash val="sysDot"/>
                <a:tailEnd type="stealth"/>
              </a:ln>
              <a:effectLst/>
            </c:spPr>
            <c:trendlineType val="log"/>
            <c:dispRSqr val="1"/>
            <c:dispEq val="1"/>
            <c:trendlineLbl>
              <c:layout>
                <c:manualLayout>
                  <c:x val="5.1523165650473168E-3"/>
                  <c:y val="0.157702376465554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rendlineLbl>
          </c:trendline>
          <c:cat>
            <c:numRef>
              <c:f>Rendimiento!$C$23:$C$31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Rendimiento!$E$23:$E$31</c:f>
              <c:numCache>
                <c:formatCode>General</c:formatCode>
                <c:ptCount val="9"/>
                <c:pt idx="0">
                  <c:v>4.2</c:v>
                </c:pt>
                <c:pt idx="1">
                  <c:v>4.3</c:v>
                </c:pt>
                <c:pt idx="2">
                  <c:v>4.2</c:v>
                </c:pt>
                <c:pt idx="3">
                  <c:v>4.4000000000000004</c:v>
                </c:pt>
                <c:pt idx="4">
                  <c:v>3.3</c:v>
                </c:pt>
                <c:pt idx="5">
                  <c:v>3.2</c:v>
                </c:pt>
                <c:pt idx="6">
                  <c:v>4.0999999999999996</c:v>
                </c:pt>
                <c:pt idx="7">
                  <c:v>3.9</c:v>
                </c:pt>
                <c:pt idx="8">
                  <c:v>3.8</c:v>
                </c:pt>
              </c:numCache>
            </c:numRef>
          </c:val>
          <c:smooth val="0"/>
          <c:extLst xmlns:c16r2="http://schemas.microsoft.com/office/drawing/2015/06/chart">
            <c:ext xmlns:c16="http://schemas.microsoft.com/office/drawing/2014/chart" uri="{C3380CC4-5D6E-409C-BE32-E72D297353CC}">
              <c16:uniqueId val="{00000009-5AFC-4B22-9916-A44E65D1A1FD}"/>
            </c:ext>
          </c:extLst>
        </c:ser>
        <c:dLbls>
          <c:showLegendKey val="0"/>
          <c:showVal val="0"/>
          <c:showCatName val="0"/>
          <c:showSerName val="0"/>
          <c:showPercent val="0"/>
          <c:showBubbleSize val="0"/>
        </c:dLbls>
        <c:marker val="1"/>
        <c:smooth val="0"/>
        <c:axId val="-195958896"/>
        <c:axId val="-172149664"/>
      </c:lineChart>
      <c:catAx>
        <c:axId val="-19595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R"/>
          </a:p>
        </c:txPr>
        <c:crossAx val="-172149664"/>
        <c:crosses val="autoZero"/>
        <c:auto val="1"/>
        <c:lblAlgn val="ctr"/>
        <c:lblOffset val="100"/>
        <c:noMultiLvlLbl val="0"/>
      </c:catAx>
      <c:valAx>
        <c:axId val="-172149664"/>
        <c:scaling>
          <c:orientation val="minMax"/>
        </c:scaling>
        <c:delete val="0"/>
        <c:axPos val="l"/>
        <c:title>
          <c:tx>
            <c:rich>
              <a:bodyPr rot="-5400000" vert="horz"/>
              <a:lstStyle/>
              <a:p>
                <a:pPr>
                  <a:defRPr/>
                </a:pPr>
                <a:r>
                  <a:rPr lang="es-CR"/>
                  <a:t>TM / Ha</a:t>
                </a:r>
              </a:p>
            </c:rich>
          </c:tx>
          <c:overlay val="0"/>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R"/>
          </a:p>
        </c:txPr>
        <c:crossAx val="-19595889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'Precio internacional 1'!$B$24</c:f>
              <c:strCache>
                <c:ptCount val="1"/>
                <c:pt idx="0">
                  <c:v>Aceite Crudo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5761115746811324E-2"/>
                  <c:y val="4.1077133728890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2A-49A4-8F94-937F2F30F69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A52A-49A4-8F94-937F2F30F694}"/>
                </c:ext>
                <c:ext xmlns:c15="http://schemas.microsoft.com/office/drawing/2012/chart" uri="{CE6537A1-D6FC-4f65-9D91-7224C49458BB}"/>
              </c:extLst>
            </c:dLbl>
            <c:dLbl>
              <c:idx val="2"/>
              <c:layout>
                <c:manualLayout>
                  <c:x val="2.3840743831207096E-3"/>
                  <c:y val="6.38977635782747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2A-49A4-8F94-937F2F30F694}"/>
                </c:ext>
                <c:ext xmlns:c15="http://schemas.microsoft.com/office/drawing/2012/chart" uri="{CE6537A1-D6FC-4f65-9D91-7224C49458BB}"/>
              </c:extLst>
            </c:dLbl>
            <c:dLbl>
              <c:idx val="3"/>
              <c:layout>
                <c:manualLayout>
                  <c:x val="9.5362975324830134E-3"/>
                  <c:y val="-4.10771337288909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2A-49A4-8F94-937F2F30F69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A52A-49A4-8F94-937F2F30F69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A52A-49A4-8F94-937F2F30F694}"/>
                </c:ext>
                <c:ext xmlns:c15="http://schemas.microsoft.com/office/drawing/2012/chart" uri="{CE6537A1-D6FC-4f65-9D91-7224C49458BB}"/>
              </c:extLst>
            </c:dLbl>
            <c:dLbl>
              <c:idx val="6"/>
              <c:layout>
                <c:manualLayout>
                  <c:x val="-7.1522231493622605E-3"/>
                  <c:y val="5.02053856686443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2A-49A4-8F94-937F2F30F694}"/>
                </c:ext>
                <c:ext xmlns:c15="http://schemas.microsoft.com/office/drawing/2012/chart" uri="{CE6537A1-D6FC-4f65-9D91-7224C49458BB}"/>
              </c:extLst>
            </c:dLbl>
            <c:dLbl>
              <c:idx val="7"/>
              <c:layout>
                <c:manualLayout>
                  <c:x val="-2.8608892597449042E-2"/>
                  <c:y val="-6.3897763578274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2A-49A4-8F94-937F2F30F694}"/>
                </c:ext>
                <c:ext xmlns:c15="http://schemas.microsoft.com/office/drawing/2012/chart" uri="{CE6537A1-D6FC-4f65-9D91-7224C49458BB}"/>
              </c:extLst>
            </c:dLbl>
            <c:dLbl>
              <c:idx val="8"/>
              <c:layout>
                <c:manualLayout>
                  <c:x val="-5.0040594967350381E-2"/>
                  <c:y val="7.8340167542954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2A-49A4-8F94-937F2F30F6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Tendencia crudo</c:name>
            <c:spPr>
              <a:ln w="19050" cap="rnd">
                <a:solidFill>
                  <a:schemeClr val="accent1"/>
                </a:solidFill>
                <a:prstDash val="sysDot"/>
                <a:tailEnd type="stealth"/>
              </a:ln>
              <a:effectLst/>
            </c:spPr>
            <c:trendlineType val="log"/>
            <c:dispRSqr val="1"/>
            <c:dispEq val="1"/>
            <c:trendlineLbl>
              <c:layout>
                <c:manualLayout>
                  <c:x val="-0.27182221187663258"/>
                  <c:y val="0.134895797769687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rendlineLbl>
          </c:trendline>
          <c:cat>
            <c:numRef>
              <c:f>'Precio internacional 1'!$A$25:$A$33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'Precio internacional 1'!$B$25:$B$33</c:f>
              <c:numCache>
                <c:formatCode>_(* #,##0_);_(* \(#,##0\);_(* "-"_);_(@_)</c:formatCode>
                <c:ptCount val="9"/>
                <c:pt idx="0">
                  <c:v>481.7518259002025</c:v>
                </c:pt>
                <c:pt idx="1">
                  <c:v>571.16029880232497</c:v>
                </c:pt>
                <c:pt idx="2">
                  <c:v>532.31106095102916</c:v>
                </c:pt>
                <c:pt idx="3">
                  <c:v>593.31924589791993</c:v>
                </c:pt>
                <c:pt idx="4">
                  <c:v>575.39622914253903</c:v>
                </c:pt>
                <c:pt idx="5">
                  <c:v>441.36081913540056</c:v>
                </c:pt>
                <c:pt idx="6">
                  <c:v>402.39113888260425</c:v>
                </c:pt>
                <c:pt idx="7">
                  <c:v>603.1268973456805</c:v>
                </c:pt>
                <c:pt idx="8">
                  <c:v>514.89918224643191</c:v>
                </c:pt>
              </c:numCache>
            </c:numRef>
          </c:val>
          <c:smooth val="0"/>
          <c:extLst xmlns:c16r2="http://schemas.microsoft.com/office/drawing/2015/06/chart">
            <c:ext xmlns:c16="http://schemas.microsoft.com/office/drawing/2014/chart" uri="{C3380CC4-5D6E-409C-BE32-E72D297353CC}">
              <c16:uniqueId val="{00000009-A52A-49A4-8F94-937F2F30F694}"/>
            </c:ext>
          </c:extLst>
        </c:ser>
        <c:ser>
          <c:idx val="1"/>
          <c:order val="1"/>
          <c:tx>
            <c:strRef>
              <c:f>'Precio internacional 1'!$C$24</c:f>
              <c:strCache>
                <c:ptCount val="1"/>
                <c:pt idx="0">
                  <c:v>Aceite Palmiste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384074383120775E-3"/>
                  <c:y val="-1.82565038795070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2A-49A4-8F94-937F2F30F69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A52A-49A4-8F94-937F2F30F694}"/>
                </c:ext>
                <c:ext xmlns:c15="http://schemas.microsoft.com/office/drawing/2012/chart" uri="{CE6537A1-D6FC-4f65-9D91-7224C49458BB}"/>
              </c:extLst>
            </c:dLbl>
            <c:dLbl>
              <c:idx val="2"/>
              <c:layout>
                <c:manualLayout>
                  <c:x val="-1.4304446298724564E-2"/>
                  <c:y val="-5.02053856686444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52A-49A4-8F94-937F2F30F69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D-A52A-49A4-8F94-937F2F30F694}"/>
                </c:ext>
                <c:ext xmlns:c15="http://schemas.microsoft.com/office/drawing/2012/chart" uri="{CE6537A1-D6FC-4f65-9D91-7224C49458BB}"/>
              </c:extLst>
            </c:dLbl>
            <c:dLbl>
              <c:idx val="5"/>
              <c:layout>
                <c:manualLayout>
                  <c:x val="-7.1522231493623472E-3"/>
                  <c:y val="6.8461889548151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52A-49A4-8F94-937F2F30F69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A52A-49A4-8F94-937F2F30F694}"/>
                </c:ext>
                <c:ext xmlns:c15="http://schemas.microsoft.com/office/drawing/2012/chart" uri="{CE6537A1-D6FC-4f65-9D91-7224C49458BB}"/>
              </c:extLst>
            </c:dLbl>
            <c:dLbl>
              <c:idx val="8"/>
              <c:layout>
                <c:manualLayout>
                  <c:x val="-2.1428571428571602E-2"/>
                  <c:y val="3.8216560509554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52A-49A4-8F94-937F2F30F6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Tendfencia palmiste</c:name>
            <c:spPr>
              <a:ln w="19050" cap="rnd">
                <a:solidFill>
                  <a:schemeClr val="accent2"/>
                </a:solidFill>
                <a:prstDash val="sysDot"/>
                <a:tailEnd type="stealth"/>
              </a:ln>
              <a:effectLst/>
            </c:spPr>
            <c:trendlineType val="linear"/>
            <c:dispRSqr val="1"/>
            <c:dispEq val="1"/>
            <c:trendlineLbl>
              <c:layout>
                <c:manualLayout>
                  <c:x val="-0.4357393399492962"/>
                  <c:y val="-5.47138077388888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rendlineLbl>
          </c:trendline>
          <c:cat>
            <c:numRef>
              <c:f>'Precio internacional 1'!$A$25:$A$33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'Precio internacional 1'!$C$25:$C$33</c:f>
              <c:numCache>
                <c:formatCode>_(* #,##0_);_(* \(#,##0\);_(* "-"_);_(@_)</c:formatCode>
                <c:ptCount val="9"/>
                <c:pt idx="0">
                  <c:v>1082.3117233291534</c:v>
                </c:pt>
                <c:pt idx="1">
                  <c:v>984.50578697910441</c:v>
                </c:pt>
                <c:pt idx="2">
                  <c:v>712.49254175006593</c:v>
                </c:pt>
                <c:pt idx="3">
                  <c:v>744.09759977085685</c:v>
                </c:pt>
                <c:pt idx="4">
                  <c:v>1057.4323395513104</c:v>
                </c:pt>
                <c:pt idx="5">
                  <c:v>911.53646083087062</c:v>
                </c:pt>
                <c:pt idx="6">
                  <c:v>966.85731537587469</c:v>
                </c:pt>
                <c:pt idx="7">
                  <c:v>1112.6545391828888</c:v>
                </c:pt>
                <c:pt idx="8">
                  <c:v>876.88921437124372</c:v>
                </c:pt>
              </c:numCache>
            </c:numRef>
          </c:val>
          <c:smooth val="0"/>
          <c:extLst xmlns:c16r2="http://schemas.microsoft.com/office/drawing/2015/06/chart">
            <c:ext xmlns:c16="http://schemas.microsoft.com/office/drawing/2014/chart" uri="{C3380CC4-5D6E-409C-BE32-E72D297353CC}">
              <c16:uniqueId val="{00000011-A52A-49A4-8F94-937F2F30F694}"/>
            </c:ext>
          </c:extLst>
        </c:ser>
        <c:dLbls>
          <c:showLegendKey val="0"/>
          <c:showVal val="0"/>
          <c:showCatName val="0"/>
          <c:showSerName val="0"/>
          <c:showPercent val="0"/>
          <c:showBubbleSize val="0"/>
        </c:dLbls>
        <c:marker val="1"/>
        <c:smooth val="0"/>
        <c:axId val="-172139328"/>
        <c:axId val="-172144224"/>
      </c:lineChart>
      <c:catAx>
        <c:axId val="-17213932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72144224"/>
        <c:crosses val="autoZero"/>
        <c:auto val="1"/>
        <c:lblAlgn val="ctr"/>
        <c:lblOffset val="100"/>
        <c:noMultiLvlLbl val="0"/>
      </c:catAx>
      <c:valAx>
        <c:axId val="-172144224"/>
        <c:scaling>
          <c:orientation val="minMax"/>
        </c:scaling>
        <c:delete val="0"/>
        <c:axPos val="l"/>
        <c:majorGridlines>
          <c:spPr>
            <a:ln w="9525" cap="flat" cmpd="sng" algn="ctr">
              <a:solidFill>
                <a:schemeClr val="bg1"/>
              </a:solidFill>
              <a:round/>
            </a:ln>
            <a:effectLst/>
          </c:spPr>
        </c:majorGridlines>
        <c:numFmt formatCode="_(* #,##0_);_(* \(#,##0\);_(* &quot;-&quot;_);_(@_)"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7213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92479953767245E-2"/>
          <c:y val="4.3919846280538015E-2"/>
          <c:w val="0.87549050337333023"/>
          <c:h val="0.68728895201124118"/>
        </c:manualLayout>
      </c:layout>
      <c:lineChart>
        <c:grouping val="standard"/>
        <c:varyColors val="0"/>
        <c:ser>
          <c:idx val="0"/>
          <c:order val="0"/>
          <c:tx>
            <c:strRef>
              <c:f>' Precio nacional(aceite)'!$T$20</c:f>
              <c:strCache>
                <c:ptCount val="1"/>
                <c:pt idx="0">
                  <c:v>Promedio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9990590449306043E-2"/>
                  <c:y val="-8.234971177600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FF-4337-B24C-879A79496B4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EFFF-4337-B24C-879A79496B4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EFFF-4337-B24C-879A79496B4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EFFF-4337-B24C-879A79496B43}"/>
                </c:ext>
                <c:ext xmlns:c15="http://schemas.microsoft.com/office/drawing/2012/chart" uri="{CE6537A1-D6FC-4f65-9D91-7224C49458BB}"/>
              </c:extLst>
            </c:dLbl>
            <c:dLbl>
              <c:idx val="5"/>
              <c:layout>
                <c:manualLayout>
                  <c:x val="-2.1171489061397319E-2"/>
                  <c:y val="8.234971177600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FF-4337-B24C-879A79496B4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5-EFFF-4337-B24C-879A79496B43}"/>
                </c:ext>
                <c:ext xmlns:c15="http://schemas.microsoft.com/office/drawing/2012/chart" uri="{CE6537A1-D6FC-4f65-9D91-7224C49458BB}"/>
              </c:extLst>
            </c:dLbl>
            <c:dLbl>
              <c:idx val="7"/>
              <c:layout>
                <c:manualLayout>
                  <c:x val="-4.2342978122794639E-2"/>
                  <c:y val="-8.783969256107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FF-4337-B24C-879A79496B43}"/>
                </c:ext>
                <c:ext xmlns:c15="http://schemas.microsoft.com/office/drawing/2012/chart" uri="{CE6537A1-D6FC-4f65-9D91-7224C49458BB}"/>
              </c:extLst>
            </c:dLbl>
            <c:dLbl>
              <c:idx val="8"/>
              <c:layout>
                <c:manualLayout>
                  <c:x val="-1.6466713714420135E-2"/>
                  <c:y val="0.120779577271479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FF-4337-B24C-879A79496B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Tendencia</c:name>
            <c:spPr>
              <a:ln w="19050" cap="rnd">
                <a:solidFill>
                  <a:schemeClr val="tx1"/>
                </a:solidFill>
                <a:prstDash val="sysDot"/>
                <a:tailEnd type="stealth"/>
              </a:ln>
              <a:effectLst/>
            </c:spPr>
            <c:trendlineType val="log"/>
            <c:dispRSqr val="1"/>
            <c:dispEq val="1"/>
            <c:trendlineLbl>
              <c:layout>
                <c:manualLayout>
                  <c:x val="-0.13360895166862083"/>
                  <c:y val="-0.187043213065289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rendlineLbl>
          </c:trendline>
          <c:cat>
            <c:strRef>
              <c:f>' Precio nacional(aceite)'!$U$18:$AC$19</c:f>
              <c:strCache>
                <c:ptCount val="9"/>
                <c:pt idx="0">
                  <c:v>2010</c:v>
                </c:pt>
                <c:pt idx="1">
                  <c:v>2011</c:v>
                </c:pt>
                <c:pt idx="2">
                  <c:v>2012</c:v>
                </c:pt>
                <c:pt idx="3">
                  <c:v>2013</c:v>
                </c:pt>
                <c:pt idx="4">
                  <c:v>2014</c:v>
                </c:pt>
                <c:pt idx="5">
                  <c:v>2015</c:v>
                </c:pt>
                <c:pt idx="6">
                  <c:v>2016</c:v>
                </c:pt>
                <c:pt idx="7">
                  <c:v>2017</c:v>
                </c:pt>
                <c:pt idx="8">
                  <c:v>2018</c:v>
                </c:pt>
              </c:strCache>
            </c:strRef>
          </c:cat>
          <c:val>
            <c:numRef>
              <c:f>' Precio nacional(aceite)'!$U$20:$AC$20</c:f>
              <c:numCache>
                <c:formatCode>[$$-540A]#,##0_ ;[Red]\-[$$-540A]#,##0\ </c:formatCode>
                <c:ptCount val="9"/>
                <c:pt idx="0">
                  <c:v>875.38993295363343</c:v>
                </c:pt>
                <c:pt idx="1">
                  <c:v>1145.776195836557</c:v>
                </c:pt>
                <c:pt idx="2">
                  <c:v>1086.8875581656009</c:v>
                </c:pt>
                <c:pt idx="3">
                  <c:v>944.78105646028769</c:v>
                </c:pt>
                <c:pt idx="4">
                  <c:v>865.36177316363103</c:v>
                </c:pt>
                <c:pt idx="5">
                  <c:v>750.76259709020781</c:v>
                </c:pt>
                <c:pt idx="6">
                  <c:v>725.04707341096002</c:v>
                </c:pt>
                <c:pt idx="7">
                  <c:v>765.42798398729974</c:v>
                </c:pt>
                <c:pt idx="8">
                  <c:v>725.66760265621463</c:v>
                </c:pt>
              </c:numCache>
            </c:numRef>
          </c:val>
          <c:smooth val="0"/>
          <c:extLst xmlns:c16r2="http://schemas.microsoft.com/office/drawing/2015/06/chart">
            <c:ext xmlns:c16="http://schemas.microsoft.com/office/drawing/2014/chart" uri="{C3380CC4-5D6E-409C-BE32-E72D297353CC}">
              <c16:uniqueId val="{00000008-EFFF-4337-B24C-879A79496B43}"/>
            </c:ext>
          </c:extLst>
        </c:ser>
        <c:dLbls>
          <c:showLegendKey val="0"/>
          <c:showVal val="0"/>
          <c:showCatName val="0"/>
          <c:showSerName val="0"/>
          <c:showPercent val="0"/>
          <c:showBubbleSize val="0"/>
        </c:dLbls>
        <c:marker val="1"/>
        <c:smooth val="0"/>
        <c:axId val="-262386608"/>
        <c:axId val="-102391648"/>
      </c:lineChart>
      <c:catAx>
        <c:axId val="-26238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2391648"/>
        <c:crosses val="autoZero"/>
        <c:auto val="1"/>
        <c:lblAlgn val="ctr"/>
        <c:lblOffset val="100"/>
        <c:noMultiLvlLbl val="0"/>
      </c:catAx>
      <c:valAx>
        <c:axId val="-102391648"/>
        <c:scaling>
          <c:orientation val="minMax"/>
          <c:min val="500"/>
        </c:scaling>
        <c:delete val="0"/>
        <c:axPos val="l"/>
        <c:numFmt formatCode="[$$-540A]#,##0_ ;[Red]\-[$$-540A]#,##0\ "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6238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22207313771873"/>
          <c:y val="9.7696850393700782E-2"/>
          <c:w val="0.77990607676282619"/>
          <c:h val="0.61924978127734032"/>
        </c:manualLayout>
      </c:layout>
      <c:lineChart>
        <c:grouping val="standard"/>
        <c:varyColors val="0"/>
        <c:ser>
          <c:idx val="0"/>
          <c:order val="0"/>
          <c:tx>
            <c:v>Precio nacional fruta palma</c:v>
          </c:tx>
          <c:marker>
            <c:symbol val="none"/>
          </c:marker>
          <c:dLbls>
            <c:dLbl>
              <c:idx val="1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24-4B36-AAEF-602D063BE2BB}"/>
                </c:ext>
                <c:ext xmlns:c15="http://schemas.microsoft.com/office/drawing/2012/chart" uri="{CE6537A1-D6FC-4f65-9D91-7224C49458BB}"/>
              </c:extLst>
            </c:dLbl>
            <c:dLbl>
              <c:idx val="71"/>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24-4B36-AAEF-602D063BE2BB}"/>
                </c:ext>
                <c:ext xmlns:c15="http://schemas.microsoft.com/office/drawing/2012/chart" uri="{CE6537A1-D6FC-4f65-9D91-7224C49458BB}"/>
              </c:extLst>
            </c:dLbl>
            <c:dLbl>
              <c:idx val="10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24-4B36-AAEF-602D063BE2BB}"/>
                </c:ext>
                <c:ext xmlns:c15="http://schemas.microsoft.com/office/drawing/2012/chart" uri="{CE6537A1-D6FC-4f65-9D91-7224C49458BB}"/>
              </c:extLst>
            </c:dLbl>
            <c:numFmt formatCode="#,##0" sourceLinked="0"/>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Correlación!$A$2:$A$109</c:f>
              <c:numCache>
                <c:formatCode>mmm\-yy</c:formatCode>
                <c:ptCount val="108"/>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numCache>
            </c:numRef>
          </c:cat>
          <c:val>
            <c:numRef>
              <c:f>Correlación!$G$4:$G$109</c:f>
              <c:numCache>
                <c:formatCode>#,##0.00</c:formatCode>
                <c:ptCount val="106"/>
                <c:pt idx="0">
                  <c:v>120.62639025653259</c:v>
                </c:pt>
                <c:pt idx="1">
                  <c:v>123.11309273901328</c:v>
                </c:pt>
                <c:pt idx="2">
                  <c:v>126.19480658873398</c:v>
                </c:pt>
                <c:pt idx="3">
                  <c:v>129.37168962049981</c:v>
                </c:pt>
                <c:pt idx="4">
                  <c:v>136.23031879518999</c:v>
                </c:pt>
                <c:pt idx="5">
                  <c:v>146.95644841963511</c:v>
                </c:pt>
                <c:pt idx="6">
                  <c:v>159.20503014575357</c:v>
                </c:pt>
                <c:pt idx="7">
                  <c:v>170.17692478180129</c:v>
                </c:pt>
                <c:pt idx="8">
                  <c:v>178.66587002448446</c:v>
                </c:pt>
                <c:pt idx="9">
                  <c:v>181.86702931706643</c:v>
                </c:pt>
                <c:pt idx="10">
                  <c:v>186.9640968771495</c:v>
                </c:pt>
                <c:pt idx="11">
                  <c:v>188.64438893495128</c:v>
                </c:pt>
                <c:pt idx="12">
                  <c:v>189.55062098598077</c:v>
                </c:pt>
                <c:pt idx="13">
                  <c:v>185.95839703541705</c:v>
                </c:pt>
                <c:pt idx="14">
                  <c:v>181.3967277706565</c:v>
                </c:pt>
                <c:pt idx="15">
                  <c:v>178.92888543032805</c:v>
                </c:pt>
                <c:pt idx="16">
                  <c:v>178.33765051404825</c:v>
                </c:pt>
                <c:pt idx="17">
                  <c:v>178.38372122108353</c:v>
                </c:pt>
                <c:pt idx="18">
                  <c:v>177.28652345473924</c:v>
                </c:pt>
                <c:pt idx="19">
                  <c:v>175.15721970429286</c:v>
                </c:pt>
                <c:pt idx="20">
                  <c:v>174.68758786618301</c:v>
                </c:pt>
                <c:pt idx="21">
                  <c:v>175.27259547295088</c:v>
                </c:pt>
                <c:pt idx="22">
                  <c:v>173.45819781140514</c:v>
                </c:pt>
                <c:pt idx="23">
                  <c:v>171.92555472153151</c:v>
                </c:pt>
                <c:pt idx="24">
                  <c:v>170.89639299695639</c:v>
                </c:pt>
                <c:pt idx="25">
                  <c:v>171.88210250778491</c:v>
                </c:pt>
                <c:pt idx="26">
                  <c:v>168.74066641680449</c:v>
                </c:pt>
                <c:pt idx="27">
                  <c:v>162.223045851828</c:v>
                </c:pt>
                <c:pt idx="28">
                  <c:v>154.52130366158119</c:v>
                </c:pt>
                <c:pt idx="29">
                  <c:v>150.18077832734812</c:v>
                </c:pt>
                <c:pt idx="30">
                  <c:v>149.25492443759086</c:v>
                </c:pt>
                <c:pt idx="31">
                  <c:v>148.20223710136543</c:v>
                </c:pt>
                <c:pt idx="32">
                  <c:v>144.66331083168072</c:v>
                </c:pt>
                <c:pt idx="33">
                  <c:v>139.17189016511779</c:v>
                </c:pt>
                <c:pt idx="34">
                  <c:v>135.83410552707085</c:v>
                </c:pt>
                <c:pt idx="35">
                  <c:v>136.10418579192734</c:v>
                </c:pt>
                <c:pt idx="36">
                  <c:v>137.02870270804507</c:v>
                </c:pt>
                <c:pt idx="37">
                  <c:v>137.18260415264226</c:v>
                </c:pt>
                <c:pt idx="38">
                  <c:v>136.81238346444607</c:v>
                </c:pt>
                <c:pt idx="39">
                  <c:v>137.5957867291331</c:v>
                </c:pt>
                <c:pt idx="40">
                  <c:v>139.06891456567533</c:v>
                </c:pt>
                <c:pt idx="41">
                  <c:v>139.57069192630135</c:v>
                </c:pt>
                <c:pt idx="42">
                  <c:v>139.23014150571834</c:v>
                </c:pt>
                <c:pt idx="43">
                  <c:v>139.73465611222852</c:v>
                </c:pt>
                <c:pt idx="44">
                  <c:v>140.79907794579933</c:v>
                </c:pt>
                <c:pt idx="45">
                  <c:v>141.51530868228653</c:v>
                </c:pt>
                <c:pt idx="46">
                  <c:v>139.91462404503474</c:v>
                </c:pt>
                <c:pt idx="47">
                  <c:v>138.26449619094726</c:v>
                </c:pt>
                <c:pt idx="48">
                  <c:v>135.58080534704195</c:v>
                </c:pt>
                <c:pt idx="49">
                  <c:v>131.875331522496</c:v>
                </c:pt>
                <c:pt idx="50">
                  <c:v>128.91741208848356</c:v>
                </c:pt>
                <c:pt idx="51">
                  <c:v>127.18872047420183</c:v>
                </c:pt>
                <c:pt idx="52">
                  <c:v>125.49352194382345</c:v>
                </c:pt>
                <c:pt idx="53">
                  <c:v>122.08658079129327</c:v>
                </c:pt>
                <c:pt idx="54">
                  <c:v>116.0727505734081</c:v>
                </c:pt>
                <c:pt idx="55">
                  <c:v>110.93843884114922</c:v>
                </c:pt>
                <c:pt idx="56">
                  <c:v>106.93850425488768</c:v>
                </c:pt>
                <c:pt idx="57">
                  <c:v>104.44651358537116</c:v>
                </c:pt>
                <c:pt idx="58">
                  <c:v>102.67894655508921</c:v>
                </c:pt>
                <c:pt idx="59">
                  <c:v>100.27798946672131</c:v>
                </c:pt>
                <c:pt idx="60">
                  <c:v>96.5887877550864</c:v>
                </c:pt>
                <c:pt idx="61">
                  <c:v>92.796444110416289</c:v>
                </c:pt>
                <c:pt idx="62">
                  <c:v>89.91419569659918</c:v>
                </c:pt>
                <c:pt idx="63">
                  <c:v>88.304396195377947</c:v>
                </c:pt>
                <c:pt idx="64">
                  <c:v>86.870729597159723</c:v>
                </c:pt>
                <c:pt idx="65">
                  <c:v>83.933563018406048</c:v>
                </c:pt>
                <c:pt idx="66">
                  <c:v>83.028749141995235</c:v>
                </c:pt>
                <c:pt idx="67">
                  <c:v>83.722927112637095</c:v>
                </c:pt>
                <c:pt idx="68">
                  <c:v>86.708873354965661</c:v>
                </c:pt>
                <c:pt idx="69">
                  <c:v>88.451644251741854</c:v>
                </c:pt>
                <c:pt idx="70">
                  <c:v>88.947304296525417</c:v>
                </c:pt>
                <c:pt idx="71">
                  <c:v>88.898738781835789</c:v>
                </c:pt>
                <c:pt idx="72">
                  <c:v>92.136827320901943</c:v>
                </c:pt>
                <c:pt idx="73">
                  <c:v>97.059850300495398</c:v>
                </c:pt>
                <c:pt idx="74">
                  <c:v>100.84778203622746</c:v>
                </c:pt>
                <c:pt idx="75">
                  <c:v>102.04129906753248</c:v>
                </c:pt>
                <c:pt idx="76">
                  <c:v>101.6531603642715</c:v>
                </c:pt>
                <c:pt idx="77">
                  <c:v>103.49929630522466</c:v>
                </c:pt>
                <c:pt idx="78">
                  <c:v>105.25785972391053</c:v>
                </c:pt>
                <c:pt idx="79">
                  <c:v>106.02659620486526</c:v>
                </c:pt>
                <c:pt idx="80">
                  <c:v>103.88817671744194</c:v>
                </c:pt>
                <c:pt idx="81">
                  <c:v>103.26169945222357</c:v>
                </c:pt>
                <c:pt idx="82">
                  <c:v>102.9733287872459</c:v>
                </c:pt>
                <c:pt idx="83">
                  <c:v>103.73579324282677</c:v>
                </c:pt>
                <c:pt idx="84">
                  <c:v>102.08119940710026</c:v>
                </c:pt>
                <c:pt idx="85">
                  <c:v>101.01587848184936</c:v>
                </c:pt>
                <c:pt idx="86">
                  <c:v>100.24432358214456</c:v>
                </c:pt>
                <c:pt idx="87">
                  <c:v>99.902016969719682</c:v>
                </c:pt>
                <c:pt idx="88">
                  <c:v>97.753044736056452</c:v>
                </c:pt>
                <c:pt idx="89">
                  <c:v>96.711214598669699</c:v>
                </c:pt>
                <c:pt idx="90">
                  <c:v>96.362357354456137</c:v>
                </c:pt>
                <c:pt idx="91">
                  <c:v>97.7331507631189</c:v>
                </c:pt>
                <c:pt idx="92">
                  <c:v>99.973750544206453</c:v>
                </c:pt>
                <c:pt idx="93">
                  <c:v>100.34872816939877</c:v>
                </c:pt>
                <c:pt idx="94">
                  <c:v>101.29165519487294</c:v>
                </c:pt>
                <c:pt idx="95">
                  <c:v>100.09241853289791</c:v>
                </c:pt>
                <c:pt idx="96">
                  <c:v>99.802395806353857</c:v>
                </c:pt>
                <c:pt idx="97">
                  <c:v>98.486862973522378</c:v>
                </c:pt>
                <c:pt idx="98">
                  <c:v>97.292807387177376</c:v>
                </c:pt>
                <c:pt idx="99">
                  <c:v>95.798013623841186</c:v>
                </c:pt>
                <c:pt idx="100">
                  <c:v>93.287341303158698</c:v>
                </c:pt>
                <c:pt idx="101">
                  <c:v>89.71778022199733</c:v>
                </c:pt>
                <c:pt idx="102">
                  <c:v>85.440244181719962</c:v>
                </c:pt>
                <c:pt idx="103">
                  <c:v>81.760819773236392</c:v>
                </c:pt>
                <c:pt idx="104">
                  <c:v>78.119883690126926</c:v>
                </c:pt>
                <c:pt idx="105">
                  <c:v>75.320793983335562</c:v>
                </c:pt>
              </c:numCache>
            </c:numRef>
          </c:val>
          <c:smooth val="0"/>
          <c:extLst xmlns:c16r2="http://schemas.microsoft.com/office/drawing/2015/06/chart">
            <c:ext xmlns:c16="http://schemas.microsoft.com/office/drawing/2014/chart" uri="{C3380CC4-5D6E-409C-BE32-E72D297353CC}">
              <c16:uniqueId val="{00000003-B724-4B36-AAEF-602D063BE2BB}"/>
            </c:ext>
          </c:extLst>
        </c:ser>
        <c:ser>
          <c:idx val="1"/>
          <c:order val="1"/>
          <c:tx>
            <c:v>Precio CIF Rotterdam</c:v>
          </c:tx>
          <c:marker>
            <c:symbol val="none"/>
          </c:marker>
          <c:dLbls>
            <c:dLbl>
              <c:idx val="12"/>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24-4B36-AAEF-602D063BE2BB}"/>
                </c:ext>
                <c:ext xmlns:c15="http://schemas.microsoft.com/office/drawing/2012/chart" uri="{CE6537A1-D6FC-4f65-9D91-7224C49458BB}"/>
              </c:extLst>
            </c:dLbl>
            <c:dLbl>
              <c:idx val="6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24-4B36-AAEF-602D063BE2BB}"/>
                </c:ext>
                <c:ext xmlns:c15="http://schemas.microsoft.com/office/drawing/2012/chart" uri="{CE6537A1-D6FC-4f65-9D91-7224C49458BB}"/>
              </c:extLst>
            </c:dLbl>
            <c:dLbl>
              <c:idx val="10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24-4B36-AAEF-602D063BE2BB}"/>
                </c:ext>
                <c:ext xmlns:c15="http://schemas.microsoft.com/office/drawing/2012/chart" uri="{CE6537A1-D6FC-4f65-9D91-7224C49458BB}"/>
              </c:extLst>
            </c:dLbl>
            <c:numFmt formatCode="#,##0" sourceLinked="0"/>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Correlación!$A$2:$A$109</c:f>
              <c:numCache>
                <c:formatCode>mmm\-yy</c:formatCode>
                <c:ptCount val="108"/>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numCache>
            </c:numRef>
          </c:cat>
          <c:val>
            <c:numRef>
              <c:f>Correlación!$H$4:$H$109</c:f>
              <c:numCache>
                <c:formatCode>#,##0.00</c:formatCode>
                <c:ptCount val="106"/>
                <c:pt idx="0">
                  <c:v>807.66666666666663</c:v>
                </c:pt>
                <c:pt idx="1">
                  <c:v>820</c:v>
                </c:pt>
                <c:pt idx="2">
                  <c:v>824.33333333333337</c:v>
                </c:pt>
                <c:pt idx="3">
                  <c:v>813</c:v>
                </c:pt>
                <c:pt idx="4">
                  <c:v>805.33333333333337</c:v>
                </c:pt>
                <c:pt idx="5">
                  <c:v>836.66666666666663</c:v>
                </c:pt>
                <c:pt idx="6">
                  <c:v>874.66666666666663</c:v>
                </c:pt>
                <c:pt idx="7">
                  <c:v>934.66666666666663</c:v>
                </c:pt>
                <c:pt idx="8">
                  <c:v>1002.6666666666666</c:v>
                </c:pt>
                <c:pt idx="9">
                  <c:v>1108</c:v>
                </c:pt>
                <c:pt idx="10">
                  <c:v>1206</c:v>
                </c:pt>
                <c:pt idx="11">
                  <c:v>1269</c:v>
                </c:pt>
                <c:pt idx="12">
                  <c:v>1253</c:v>
                </c:pt>
                <c:pt idx="13">
                  <c:v>1209</c:v>
                </c:pt>
                <c:pt idx="14">
                  <c:v>1162.6666666666667</c:v>
                </c:pt>
                <c:pt idx="15">
                  <c:v>1147</c:v>
                </c:pt>
                <c:pt idx="16">
                  <c:v>1126.6666666666667</c:v>
                </c:pt>
                <c:pt idx="17">
                  <c:v>1101.3333333333333</c:v>
                </c:pt>
                <c:pt idx="18">
                  <c:v>1078.6666666666667</c:v>
                </c:pt>
                <c:pt idx="19">
                  <c:v>1047.3333333333333</c:v>
                </c:pt>
                <c:pt idx="20">
                  <c:v>1037.3333333333333</c:v>
                </c:pt>
                <c:pt idx="21">
                  <c:v>1024.6666666666667</c:v>
                </c:pt>
                <c:pt idx="22">
                  <c:v>1047</c:v>
                </c:pt>
                <c:pt idx="23">
                  <c:v>1064.6666666666667</c:v>
                </c:pt>
                <c:pt idx="24">
                  <c:v>1106.6666666666667</c:v>
                </c:pt>
                <c:pt idx="25">
                  <c:v>1146.6666666666667</c:v>
                </c:pt>
                <c:pt idx="26">
                  <c:v>1139.6666666666667</c:v>
                </c:pt>
                <c:pt idx="27">
                  <c:v>1088.3333333333333</c:v>
                </c:pt>
                <c:pt idx="28">
                  <c:v>1033</c:v>
                </c:pt>
                <c:pt idx="29">
                  <c:v>1003.6666666666666</c:v>
                </c:pt>
                <c:pt idx="30">
                  <c:v>993</c:v>
                </c:pt>
                <c:pt idx="31">
                  <c:v>934.33333333333337</c:v>
                </c:pt>
                <c:pt idx="32">
                  <c:v>873</c:v>
                </c:pt>
                <c:pt idx="33">
                  <c:v>809.33333333333337</c:v>
                </c:pt>
                <c:pt idx="34">
                  <c:v>810</c:v>
                </c:pt>
                <c:pt idx="35">
                  <c:v>826.66666666666663</c:v>
                </c:pt>
                <c:pt idx="36">
                  <c:v>852.66666666666663</c:v>
                </c:pt>
                <c:pt idx="37">
                  <c:v>853</c:v>
                </c:pt>
                <c:pt idx="38">
                  <c:v>848.33333333333337</c:v>
                </c:pt>
                <c:pt idx="39">
                  <c:v>850.33333333333337</c:v>
                </c:pt>
                <c:pt idx="40">
                  <c:v>847.33333333333337</c:v>
                </c:pt>
                <c:pt idx="41">
                  <c:v>840.66666666666663</c:v>
                </c:pt>
                <c:pt idx="42">
                  <c:v>827.33333333333337</c:v>
                </c:pt>
                <c:pt idx="43">
                  <c:v>836</c:v>
                </c:pt>
                <c:pt idx="44">
                  <c:v>866.66666666666663</c:v>
                </c:pt>
                <c:pt idx="45">
                  <c:v>897.33333333333337</c:v>
                </c:pt>
                <c:pt idx="46">
                  <c:v>899.33333333333337</c:v>
                </c:pt>
                <c:pt idx="47">
                  <c:v>895</c:v>
                </c:pt>
                <c:pt idx="48">
                  <c:v>911.33333333333337</c:v>
                </c:pt>
                <c:pt idx="49">
                  <c:v>926.66666666666663</c:v>
                </c:pt>
                <c:pt idx="50">
                  <c:v>922</c:v>
                </c:pt>
                <c:pt idx="51">
                  <c:v>887.33333333333337</c:v>
                </c:pt>
                <c:pt idx="52">
                  <c:v>867.33333333333337</c:v>
                </c:pt>
                <c:pt idx="53">
                  <c:v>823.66666666666663</c:v>
                </c:pt>
                <c:pt idx="54">
                  <c:v>774.33333333333337</c:v>
                </c:pt>
                <c:pt idx="55">
                  <c:v>732</c:v>
                </c:pt>
                <c:pt idx="56">
                  <c:v>721.33333333333337</c:v>
                </c:pt>
                <c:pt idx="57">
                  <c:v>716</c:v>
                </c:pt>
                <c:pt idx="58">
                  <c:v>703</c:v>
                </c:pt>
                <c:pt idx="59">
                  <c:v>689</c:v>
                </c:pt>
                <c:pt idx="60">
                  <c:v>682</c:v>
                </c:pt>
                <c:pt idx="61">
                  <c:v>674.33333333333337</c:v>
                </c:pt>
                <c:pt idx="62">
                  <c:v>664.33333333333337</c:v>
                </c:pt>
                <c:pt idx="63">
                  <c:v>664</c:v>
                </c:pt>
                <c:pt idx="64">
                  <c:v>655</c:v>
                </c:pt>
                <c:pt idx="65">
                  <c:v>618.33333333333337</c:v>
                </c:pt>
                <c:pt idx="66">
                  <c:v>574</c:v>
                </c:pt>
                <c:pt idx="67">
                  <c:v>556.66666666666663</c:v>
                </c:pt>
                <c:pt idx="68">
                  <c:v>559.66666666666663</c:v>
                </c:pt>
                <c:pt idx="69">
                  <c:v>569.66666666666663</c:v>
                </c:pt>
                <c:pt idx="70">
                  <c:v>564</c:v>
                </c:pt>
                <c:pt idx="71">
                  <c:v>591.33333333333337</c:v>
                </c:pt>
                <c:pt idx="72">
                  <c:v>630.66666666666663</c:v>
                </c:pt>
                <c:pt idx="73">
                  <c:v>682.66666666666663</c:v>
                </c:pt>
                <c:pt idx="74">
                  <c:v>704.66666666666663</c:v>
                </c:pt>
                <c:pt idx="75">
                  <c:v>703.66666666666663</c:v>
                </c:pt>
                <c:pt idx="76">
                  <c:v>680.33333333333337</c:v>
                </c:pt>
                <c:pt idx="77">
                  <c:v>690.33333333333337</c:v>
                </c:pt>
                <c:pt idx="78">
                  <c:v>714.66666666666663</c:v>
                </c:pt>
                <c:pt idx="79">
                  <c:v>736</c:v>
                </c:pt>
                <c:pt idx="80">
                  <c:v>741</c:v>
                </c:pt>
                <c:pt idx="81">
                  <c:v>751.66666666666663</c:v>
                </c:pt>
                <c:pt idx="82">
                  <c:v>782.66666666666663</c:v>
                </c:pt>
                <c:pt idx="83">
                  <c:v>790.33333333333337</c:v>
                </c:pt>
                <c:pt idx="84">
                  <c:v>772.33333333333337</c:v>
                </c:pt>
                <c:pt idx="85">
                  <c:v>731</c:v>
                </c:pt>
                <c:pt idx="86">
                  <c:v>715.33333333333337</c:v>
                </c:pt>
                <c:pt idx="87">
                  <c:v>696.33333333333337</c:v>
                </c:pt>
                <c:pt idx="88">
                  <c:v>689</c:v>
                </c:pt>
                <c:pt idx="89">
                  <c:v>671.33333333333337</c:v>
                </c:pt>
                <c:pt idx="90">
                  <c:v>687</c:v>
                </c:pt>
                <c:pt idx="91">
                  <c:v>706.33333333333337</c:v>
                </c:pt>
                <c:pt idx="92">
                  <c:v>720.33333333333337</c:v>
                </c:pt>
                <c:pt idx="93">
                  <c:v>703</c:v>
                </c:pt>
                <c:pt idx="94">
                  <c:v>688.33333333333337</c:v>
                </c:pt>
                <c:pt idx="95">
                  <c:v>670.66666666666663</c:v>
                </c:pt>
                <c:pt idx="96">
                  <c:v>673.66666666666663</c:v>
                </c:pt>
                <c:pt idx="97">
                  <c:v>669.33333333333337</c:v>
                </c:pt>
                <c:pt idx="98">
                  <c:v>668.33333333333337</c:v>
                </c:pt>
                <c:pt idx="99">
                  <c:v>652.33333333333337</c:v>
                </c:pt>
                <c:pt idx="100">
                  <c:v>627.66666666666663</c:v>
                </c:pt>
                <c:pt idx="101">
                  <c:v>594.66666666666663</c:v>
                </c:pt>
                <c:pt idx="102">
                  <c:v>567</c:v>
                </c:pt>
                <c:pt idx="103">
                  <c:v>546.33333333333337</c:v>
                </c:pt>
                <c:pt idx="104">
                  <c:v>517.66666666666663</c:v>
                </c:pt>
                <c:pt idx="105">
                  <c:v>497.33333333333331</c:v>
                </c:pt>
              </c:numCache>
            </c:numRef>
          </c:val>
          <c:smooth val="0"/>
          <c:extLst xmlns:c16r2="http://schemas.microsoft.com/office/drawing/2015/06/chart">
            <c:ext xmlns:c16="http://schemas.microsoft.com/office/drawing/2014/chart" uri="{C3380CC4-5D6E-409C-BE32-E72D297353CC}">
              <c16:uniqueId val="{00000007-B724-4B36-AAEF-602D063BE2BB}"/>
            </c:ext>
          </c:extLst>
        </c:ser>
        <c:dLbls>
          <c:showLegendKey val="0"/>
          <c:showVal val="0"/>
          <c:showCatName val="0"/>
          <c:showSerName val="0"/>
          <c:showPercent val="0"/>
          <c:showBubbleSize val="0"/>
        </c:dLbls>
        <c:smooth val="0"/>
        <c:axId val="-102392192"/>
        <c:axId val="-102388384"/>
      </c:lineChart>
      <c:dateAx>
        <c:axId val="-102392192"/>
        <c:scaling>
          <c:orientation val="minMax"/>
        </c:scaling>
        <c:delete val="0"/>
        <c:axPos val="b"/>
        <c:numFmt formatCode="mmm\-yy" sourceLinked="1"/>
        <c:majorTickMark val="out"/>
        <c:minorTickMark val="none"/>
        <c:tickLblPos val="nextTo"/>
        <c:txPr>
          <a:bodyPr/>
          <a:lstStyle/>
          <a:p>
            <a:pPr>
              <a:defRPr sz="900"/>
            </a:pPr>
            <a:endParaRPr lang="es-CR"/>
          </a:p>
        </c:txPr>
        <c:crossAx val="-102388384"/>
        <c:crosses val="autoZero"/>
        <c:auto val="1"/>
        <c:lblOffset val="100"/>
        <c:baseTimeUnit val="months"/>
      </c:dateAx>
      <c:valAx>
        <c:axId val="-102388384"/>
        <c:scaling>
          <c:orientation val="minMax"/>
        </c:scaling>
        <c:delete val="0"/>
        <c:axPos val="l"/>
        <c:title>
          <c:tx>
            <c:rich>
              <a:bodyPr rot="-5400000" vert="horz"/>
              <a:lstStyle/>
              <a:p>
                <a:pPr>
                  <a:defRPr/>
                </a:pPr>
                <a:r>
                  <a:rPr lang="es-CR"/>
                  <a:t>USD / TM</a:t>
                </a:r>
              </a:p>
            </c:rich>
          </c:tx>
          <c:overlay val="0"/>
        </c:title>
        <c:numFmt formatCode="#,##0" sourceLinked="0"/>
        <c:majorTickMark val="out"/>
        <c:minorTickMark val="none"/>
        <c:tickLblPos val="nextTo"/>
        <c:crossAx val="-1023921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788F28-AB0F-4CB1-B516-AA3F56B30A97}" type="doc">
      <dgm:prSet loTypeId="urn:microsoft.com/office/officeart/2005/8/layout/bProcess4" loCatId="process" qsTypeId="urn:microsoft.com/office/officeart/2005/8/quickstyle/simple1" qsCatId="simple" csTypeId="urn:microsoft.com/office/officeart/2005/8/colors/colorful1" csCatId="colorful" phldr="1"/>
      <dgm:spPr/>
      <dgm:t>
        <a:bodyPr/>
        <a:lstStyle/>
        <a:p>
          <a:endParaRPr lang="es-CR"/>
        </a:p>
      </dgm:t>
    </dgm:pt>
    <dgm:pt modelId="{550A8922-9FAD-4902-95CB-10D197EB2C16}">
      <dgm:prSet phldrT="[Texto]"/>
      <dgm:spPr>
        <a:xfrm>
          <a:off x="59190" y="210"/>
          <a:ext cx="1408316" cy="844989"/>
        </a:xfrm>
        <a:solidFill>
          <a:srgbClr val="5B9BD5">
            <a:lumMod val="75000"/>
          </a:srgbClr>
        </a:solidFill>
        <a:ln w="12700" cap="flat" cmpd="sng" algn="ctr">
          <a:solidFill>
            <a:srgbClr val="5B9BD5">
              <a:lumMod val="75000"/>
            </a:srgbClr>
          </a:solidFill>
          <a:prstDash val="solid"/>
          <a:miter lim="800000"/>
        </a:ln>
        <a:effectLst/>
      </dgm:spPr>
      <dgm:t>
        <a:bodyPr/>
        <a:lstStyle/>
        <a:p>
          <a:r>
            <a:rPr lang="es-CR">
              <a:solidFill>
                <a:sysClr val="window" lastClr="FFFFFF"/>
              </a:solidFill>
              <a:latin typeface="Calibri"/>
              <a:ea typeface="+mn-ea"/>
              <a:cs typeface="+mn-cs"/>
            </a:rPr>
            <a:t>El modelo parte de prácticas agrícolas en palma aceitera que un productor está realizando</a:t>
          </a:r>
        </a:p>
      </dgm:t>
    </dgm:pt>
    <dgm:pt modelId="{3F5DC4D0-6A3A-4870-B462-715E3F1C4B8F}" type="parTrans" cxnId="{B43DAF2F-D505-4106-958B-078CAB53DB09}">
      <dgm:prSet/>
      <dgm:spPr/>
      <dgm:t>
        <a:bodyPr/>
        <a:lstStyle/>
        <a:p>
          <a:endParaRPr lang="es-CR"/>
        </a:p>
      </dgm:t>
    </dgm:pt>
    <dgm:pt modelId="{C77AD468-4994-4423-A3FE-79540C257549}" type="sibTrans" cxnId="{B43DAF2F-D505-4106-958B-078CAB53DB09}">
      <dgm:prSet/>
      <dgm:spPr>
        <a:xfrm rot="5400000">
          <a:off x="-177649" y="673968"/>
          <a:ext cx="1046622" cy="126748"/>
        </a:xfrm>
        <a:solidFill>
          <a:srgbClr val="E7E6E6">
            <a:lumMod val="75000"/>
          </a:srgbClr>
        </a:solidFill>
        <a:ln>
          <a:noFill/>
        </a:ln>
        <a:effectLst/>
      </dgm:spPr>
      <dgm:t>
        <a:bodyPr/>
        <a:lstStyle/>
        <a:p>
          <a:endParaRPr lang="es-CR"/>
        </a:p>
      </dgm:t>
    </dgm:pt>
    <dgm:pt modelId="{A2FC5E8D-869E-4CA5-8922-7A1DF980A45F}">
      <dgm:prSet phldrT="[Texto]"/>
      <dgm:spPr>
        <a:xfrm>
          <a:off x="59190" y="1056447"/>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fijó el costo agrícola para 22 años, analizando el consumo por HA, costo unitario y costo total por HA para cada año</a:t>
          </a:r>
        </a:p>
      </dgm:t>
    </dgm:pt>
    <dgm:pt modelId="{9502554B-F110-41EB-9CA9-88BD3C6A9D99}" type="parTrans" cxnId="{3BC982FD-52A2-4BAF-A226-3692467D1691}">
      <dgm:prSet/>
      <dgm:spPr/>
      <dgm:t>
        <a:bodyPr/>
        <a:lstStyle/>
        <a:p>
          <a:endParaRPr lang="es-CR"/>
        </a:p>
      </dgm:t>
    </dgm:pt>
    <dgm:pt modelId="{834A910E-0DDA-434B-B591-0D3B9ADCAFA4}" type="sibTrans" cxnId="{3BC982FD-52A2-4BAF-A226-3692467D1691}">
      <dgm:prSet/>
      <dgm:spPr>
        <a:xfrm rot="5400000">
          <a:off x="-177649" y="1730205"/>
          <a:ext cx="1046622" cy="126748"/>
        </a:xfrm>
        <a:solidFill>
          <a:srgbClr val="A5A5A5">
            <a:hueOff val="0"/>
            <a:satOff val="0"/>
            <a:lumOff val="0"/>
            <a:alphaOff val="0"/>
          </a:srgbClr>
        </a:solidFill>
        <a:ln>
          <a:noFill/>
        </a:ln>
        <a:effectLst/>
      </dgm:spPr>
      <dgm:t>
        <a:bodyPr/>
        <a:lstStyle/>
        <a:p>
          <a:endParaRPr lang="es-CR"/>
        </a:p>
      </dgm:t>
    </dgm:pt>
    <dgm:pt modelId="{1A3256EA-CA03-4BDD-8645-732DE1BDBC14}">
      <dgm:prSet phldrT="[Texto]"/>
      <dgm:spPr>
        <a:xfrm>
          <a:off x="59190" y="2112684"/>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calculó el costo de inversión para el primer año y adicionalmente el costo del capital</a:t>
          </a:r>
        </a:p>
      </dgm:t>
    </dgm:pt>
    <dgm:pt modelId="{108EFC51-9F73-472B-8A09-0FD93BC3E6A8}" type="parTrans" cxnId="{7CABD5E4-AB13-4C82-A214-FD846F508EAA}">
      <dgm:prSet/>
      <dgm:spPr/>
      <dgm:t>
        <a:bodyPr/>
        <a:lstStyle/>
        <a:p>
          <a:endParaRPr lang="es-CR"/>
        </a:p>
      </dgm:t>
    </dgm:pt>
    <dgm:pt modelId="{5528DC93-FAB0-4B6E-9E90-76A76E4D7CBD}" type="sibTrans" cxnId="{7CABD5E4-AB13-4C82-A214-FD846F508EAA}">
      <dgm:prSet/>
      <dgm:spPr>
        <a:xfrm>
          <a:off x="350468" y="2258324"/>
          <a:ext cx="1863445" cy="126748"/>
        </a:xfrm>
        <a:solidFill>
          <a:srgbClr val="E7E6E6">
            <a:lumMod val="75000"/>
          </a:srgbClr>
        </a:solidFill>
        <a:ln>
          <a:noFill/>
        </a:ln>
        <a:effectLst/>
      </dgm:spPr>
      <dgm:t>
        <a:bodyPr/>
        <a:lstStyle/>
        <a:p>
          <a:endParaRPr lang="es-CR"/>
        </a:p>
      </dgm:t>
    </dgm:pt>
    <dgm:pt modelId="{FC868865-64B2-4871-A928-FE7C43BA08FE}">
      <dgm:prSet phldrT="[Texto]"/>
      <dgm:spPr>
        <a:xfrm>
          <a:off x="1932251" y="2112684"/>
          <a:ext cx="1408316" cy="84498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R">
              <a:solidFill>
                <a:sysClr val="window" lastClr="FFFFFF"/>
              </a:solidFill>
              <a:latin typeface="Calibri"/>
              <a:ea typeface="+mn-ea"/>
              <a:cs typeface="+mn-cs"/>
            </a:rPr>
            <a:t>Se estimó los costos agrícolas por HA para cada año y se calculó un promedio, obteniendo una productividad TM/HA</a:t>
          </a:r>
        </a:p>
      </dgm:t>
    </dgm:pt>
    <dgm:pt modelId="{9BA3FA87-DF5C-4AA4-8492-CBE6DE40B2FF}" type="parTrans" cxnId="{8A73C846-8A16-4FF3-BF30-739DD2EB2B4E}">
      <dgm:prSet/>
      <dgm:spPr/>
      <dgm:t>
        <a:bodyPr/>
        <a:lstStyle/>
        <a:p>
          <a:endParaRPr lang="es-CR"/>
        </a:p>
      </dgm:t>
    </dgm:pt>
    <dgm:pt modelId="{B0353ACA-EAF6-49CD-9904-B8790782C0BD}" type="sibTrans" cxnId="{8A73C846-8A16-4FF3-BF30-739DD2EB2B4E}">
      <dgm:prSet/>
      <dgm:spPr>
        <a:xfrm rot="16200000">
          <a:off x="1695411" y="1730205"/>
          <a:ext cx="1046622" cy="126748"/>
        </a:xfrm>
        <a:solidFill>
          <a:srgbClr val="E7E6E6">
            <a:lumMod val="75000"/>
          </a:srgbClr>
        </a:solidFill>
        <a:ln>
          <a:noFill/>
        </a:ln>
        <a:effectLst/>
      </dgm:spPr>
      <dgm:t>
        <a:bodyPr/>
        <a:lstStyle/>
        <a:p>
          <a:endParaRPr lang="es-CR"/>
        </a:p>
      </dgm:t>
    </dgm:pt>
    <dgm:pt modelId="{590918A7-BBA9-4D09-ADFC-AAB53F43F83E}">
      <dgm:prSet phldrT="[Texto]"/>
      <dgm:spPr>
        <a:xfrm>
          <a:off x="1932251" y="1056447"/>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definieron y estimaron otros costos variables bajo el criterio de experto</a:t>
          </a:r>
        </a:p>
      </dgm:t>
    </dgm:pt>
    <dgm:pt modelId="{AAC574B1-DF5D-4BA4-B6D6-F13A65E21418}" type="parTrans" cxnId="{BC044D7C-0127-47F6-9A78-99D477A3D62E}">
      <dgm:prSet/>
      <dgm:spPr/>
      <dgm:t>
        <a:bodyPr/>
        <a:lstStyle/>
        <a:p>
          <a:endParaRPr lang="es-CR"/>
        </a:p>
      </dgm:t>
    </dgm:pt>
    <dgm:pt modelId="{522BFB76-4B80-4152-B220-495CCEC54D56}" type="sibTrans" cxnId="{BC044D7C-0127-47F6-9A78-99D477A3D62E}">
      <dgm:prSet/>
      <dgm:spPr>
        <a:xfrm rot="16200000">
          <a:off x="1695411" y="673968"/>
          <a:ext cx="1046622" cy="126748"/>
        </a:xfrm>
        <a:solidFill>
          <a:srgbClr val="E7E6E6">
            <a:lumMod val="75000"/>
          </a:srgbClr>
        </a:solidFill>
        <a:ln>
          <a:noFill/>
        </a:ln>
        <a:effectLst/>
      </dgm:spPr>
      <dgm:t>
        <a:bodyPr/>
        <a:lstStyle/>
        <a:p>
          <a:endParaRPr lang="es-CR"/>
        </a:p>
      </dgm:t>
    </dgm:pt>
    <dgm:pt modelId="{006E6F57-ED53-4FEA-8893-D868D90E0492}">
      <dgm:prSet phldrT="[Texto]"/>
      <dgm:spPr>
        <a:xfrm>
          <a:off x="1932251" y="210"/>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definieron y estimaron los costos fijos para todos los años de producción bajo el criterio de experto</a:t>
          </a:r>
        </a:p>
      </dgm:t>
    </dgm:pt>
    <dgm:pt modelId="{C0A02F23-4602-427B-967D-37FD25800D3D}" type="parTrans" cxnId="{983CEBA1-FBBD-4AC2-8A4A-C7F952BACC48}">
      <dgm:prSet/>
      <dgm:spPr/>
      <dgm:t>
        <a:bodyPr/>
        <a:lstStyle/>
        <a:p>
          <a:endParaRPr lang="es-CR"/>
        </a:p>
      </dgm:t>
    </dgm:pt>
    <dgm:pt modelId="{46880F9F-0140-48DD-B2DD-7195391812B6}" type="sibTrans" cxnId="{983CEBA1-FBBD-4AC2-8A4A-C7F952BACC48}">
      <dgm:prSet/>
      <dgm:spPr>
        <a:xfrm>
          <a:off x="2223529" y="145849"/>
          <a:ext cx="1863445" cy="126748"/>
        </a:xfrm>
        <a:solidFill>
          <a:srgbClr val="E7E6E6">
            <a:lumMod val="75000"/>
          </a:srgbClr>
        </a:solidFill>
        <a:ln>
          <a:noFill/>
        </a:ln>
        <a:effectLst/>
      </dgm:spPr>
      <dgm:t>
        <a:bodyPr/>
        <a:lstStyle/>
        <a:p>
          <a:endParaRPr lang="es-CR"/>
        </a:p>
      </dgm:t>
    </dgm:pt>
    <dgm:pt modelId="{306A1506-A3D9-4CBC-A1AB-A99F56679894}">
      <dgm:prSet phldrT="[Texto]"/>
      <dgm:spPr>
        <a:xfrm>
          <a:off x="3805312" y="210"/>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cotizaron bienes y servicios en las regiones productoras</a:t>
          </a:r>
        </a:p>
      </dgm:t>
    </dgm:pt>
    <dgm:pt modelId="{9463A85F-DB50-4F28-A187-E87CF776E95E}" type="parTrans" cxnId="{06FDC289-1BA0-4FEE-B39D-ABBE445F0AD7}">
      <dgm:prSet/>
      <dgm:spPr/>
      <dgm:t>
        <a:bodyPr/>
        <a:lstStyle/>
        <a:p>
          <a:endParaRPr lang="es-CR"/>
        </a:p>
      </dgm:t>
    </dgm:pt>
    <dgm:pt modelId="{F686CB15-6CB2-4C10-943F-8CADA03D25EC}" type="sibTrans" cxnId="{06FDC289-1BA0-4FEE-B39D-ABBE445F0AD7}">
      <dgm:prSet/>
      <dgm:spPr>
        <a:xfrm rot="5400000">
          <a:off x="3568471" y="673968"/>
          <a:ext cx="1046622" cy="126748"/>
        </a:xfrm>
        <a:solidFill>
          <a:srgbClr val="A5A5A5">
            <a:hueOff val="0"/>
            <a:satOff val="0"/>
            <a:lumOff val="0"/>
            <a:alphaOff val="0"/>
          </a:srgbClr>
        </a:solidFill>
        <a:ln>
          <a:noFill/>
        </a:ln>
        <a:effectLst/>
      </dgm:spPr>
      <dgm:t>
        <a:bodyPr/>
        <a:lstStyle/>
        <a:p>
          <a:endParaRPr lang="es-CR"/>
        </a:p>
      </dgm:t>
    </dgm:pt>
    <dgm:pt modelId="{9E000EBA-6458-490C-BAB1-79594BE59DF3}">
      <dgm:prSet phldrT="[Texto]"/>
      <dgm:spPr>
        <a:xfrm>
          <a:off x="3805312" y="1056447"/>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estimaron los diferentes ciclos por año y el programa de fertilización según la realidad del productor</a:t>
          </a:r>
        </a:p>
      </dgm:t>
    </dgm:pt>
    <dgm:pt modelId="{4EE4D8AA-3532-4196-A3B2-B93D14D806A2}" type="parTrans" cxnId="{0CBE7DF2-1B1F-43CC-B1F6-9A3BB112798A}">
      <dgm:prSet/>
      <dgm:spPr/>
      <dgm:t>
        <a:bodyPr/>
        <a:lstStyle/>
        <a:p>
          <a:endParaRPr lang="es-CR"/>
        </a:p>
      </dgm:t>
    </dgm:pt>
    <dgm:pt modelId="{CF438717-EE1D-493E-8037-6382692384E0}" type="sibTrans" cxnId="{0CBE7DF2-1B1F-43CC-B1F6-9A3BB112798A}">
      <dgm:prSet/>
      <dgm:spPr>
        <a:xfrm rot="5400000">
          <a:off x="3568471" y="1730205"/>
          <a:ext cx="1046622" cy="126748"/>
        </a:xfrm>
        <a:solidFill>
          <a:srgbClr val="E7E6E6">
            <a:lumMod val="75000"/>
          </a:srgbClr>
        </a:solidFill>
        <a:ln>
          <a:noFill/>
        </a:ln>
        <a:effectLst/>
      </dgm:spPr>
      <dgm:t>
        <a:bodyPr/>
        <a:lstStyle/>
        <a:p>
          <a:endParaRPr lang="es-CR"/>
        </a:p>
      </dgm:t>
    </dgm:pt>
    <dgm:pt modelId="{2D3BE858-E0EF-4E8C-AAB1-727D72C029E9}">
      <dgm:prSet phldrT="[Texto]"/>
      <dgm:spPr>
        <a:xfrm>
          <a:off x="3805312" y="2112684"/>
          <a:ext cx="1408316" cy="844989"/>
        </a:xfrm>
        <a:solidFill>
          <a:srgbClr val="4472C4"/>
        </a:solidFill>
        <a:ln w="12700" cap="flat" cmpd="sng" algn="ctr">
          <a:solidFill>
            <a:srgbClr val="4472C4"/>
          </a:solidFill>
          <a:prstDash val="solid"/>
          <a:miter lim="800000"/>
        </a:ln>
        <a:effectLst/>
      </dgm:spPr>
      <dgm:t>
        <a:bodyPr/>
        <a:lstStyle/>
        <a:p>
          <a:r>
            <a:rPr lang="es-CR">
              <a:solidFill>
                <a:sysClr val="window" lastClr="FFFFFF"/>
              </a:solidFill>
              <a:latin typeface="Calibri"/>
              <a:ea typeface="+mn-ea"/>
              <a:cs typeface="+mn-cs"/>
            </a:rPr>
            <a:t>Se obtuvo un precio por tonelada métrica de fruta de palma aceitera</a:t>
          </a:r>
        </a:p>
      </dgm:t>
    </dgm:pt>
    <dgm:pt modelId="{8EBDEE9B-8698-4684-B0E8-E2691713B203}" type="parTrans" cxnId="{60A677D7-6DBA-44BF-8CE9-EA59A8D9B0A5}">
      <dgm:prSet/>
      <dgm:spPr/>
      <dgm:t>
        <a:bodyPr/>
        <a:lstStyle/>
        <a:p>
          <a:endParaRPr lang="es-CR"/>
        </a:p>
      </dgm:t>
    </dgm:pt>
    <dgm:pt modelId="{C8F162AB-9646-40BE-BCF1-9A0FD181FA2B}" type="sibTrans" cxnId="{60A677D7-6DBA-44BF-8CE9-EA59A8D9B0A5}">
      <dgm:prSet/>
      <dgm:spPr/>
      <dgm:t>
        <a:bodyPr/>
        <a:lstStyle/>
        <a:p>
          <a:endParaRPr lang="es-CR"/>
        </a:p>
      </dgm:t>
    </dgm:pt>
    <dgm:pt modelId="{0C7B48AA-3391-4A41-8823-D48BC8E61D88}" type="pres">
      <dgm:prSet presAssocID="{43788F28-AB0F-4CB1-B516-AA3F56B30A97}" presName="Name0" presStyleCnt="0">
        <dgm:presLayoutVars>
          <dgm:dir/>
          <dgm:resizeHandles/>
        </dgm:presLayoutVars>
      </dgm:prSet>
      <dgm:spPr/>
      <dgm:t>
        <a:bodyPr/>
        <a:lstStyle/>
        <a:p>
          <a:endParaRPr lang="es-CR"/>
        </a:p>
      </dgm:t>
    </dgm:pt>
    <dgm:pt modelId="{115AAEF6-DC22-44C1-8D72-E487C92353BB}" type="pres">
      <dgm:prSet presAssocID="{550A8922-9FAD-4902-95CB-10D197EB2C16}" presName="compNode" presStyleCnt="0"/>
      <dgm:spPr/>
    </dgm:pt>
    <dgm:pt modelId="{F5C9EA20-49B8-493F-9DDF-33460ED857FD}" type="pres">
      <dgm:prSet presAssocID="{550A8922-9FAD-4902-95CB-10D197EB2C16}" presName="dummyConnPt" presStyleCnt="0"/>
      <dgm:spPr/>
    </dgm:pt>
    <dgm:pt modelId="{59FF1085-33EB-4DBC-950F-CCA20D264D1A}" type="pres">
      <dgm:prSet presAssocID="{550A8922-9FAD-4902-95CB-10D197EB2C16}" presName="node" presStyleLbl="node1" presStyleIdx="0" presStyleCnt="9">
        <dgm:presLayoutVars>
          <dgm:bulletEnabled val="1"/>
        </dgm:presLayoutVars>
      </dgm:prSet>
      <dgm:spPr>
        <a:prstGeom prst="roundRect">
          <a:avLst>
            <a:gd name="adj" fmla="val 10000"/>
          </a:avLst>
        </a:prstGeom>
      </dgm:spPr>
      <dgm:t>
        <a:bodyPr/>
        <a:lstStyle/>
        <a:p>
          <a:endParaRPr lang="es-CR"/>
        </a:p>
      </dgm:t>
    </dgm:pt>
    <dgm:pt modelId="{93CD7675-9104-4703-A22E-BAD8F3BB866E}" type="pres">
      <dgm:prSet presAssocID="{C77AD468-4994-4423-A3FE-79540C257549}" presName="sibTrans" presStyleLbl="bgSibTrans2D1" presStyleIdx="0" presStyleCnt="8"/>
      <dgm:spPr>
        <a:prstGeom prst="rect">
          <a:avLst/>
        </a:prstGeom>
      </dgm:spPr>
      <dgm:t>
        <a:bodyPr/>
        <a:lstStyle/>
        <a:p>
          <a:endParaRPr lang="es-CR"/>
        </a:p>
      </dgm:t>
    </dgm:pt>
    <dgm:pt modelId="{B56A75D8-46BD-4B1B-A7D6-971079DB7040}" type="pres">
      <dgm:prSet presAssocID="{A2FC5E8D-869E-4CA5-8922-7A1DF980A45F}" presName="compNode" presStyleCnt="0"/>
      <dgm:spPr/>
    </dgm:pt>
    <dgm:pt modelId="{6116CE6E-DD0A-4BC5-A3F4-462CCC7F3BA1}" type="pres">
      <dgm:prSet presAssocID="{A2FC5E8D-869E-4CA5-8922-7A1DF980A45F}" presName="dummyConnPt" presStyleCnt="0"/>
      <dgm:spPr/>
    </dgm:pt>
    <dgm:pt modelId="{422BEFD7-BDCF-449F-AE34-8A5AFAB93B2D}" type="pres">
      <dgm:prSet presAssocID="{A2FC5E8D-869E-4CA5-8922-7A1DF980A45F}" presName="node" presStyleLbl="node1" presStyleIdx="1" presStyleCnt="9">
        <dgm:presLayoutVars>
          <dgm:bulletEnabled val="1"/>
        </dgm:presLayoutVars>
      </dgm:prSet>
      <dgm:spPr>
        <a:prstGeom prst="roundRect">
          <a:avLst>
            <a:gd name="adj" fmla="val 10000"/>
          </a:avLst>
        </a:prstGeom>
      </dgm:spPr>
      <dgm:t>
        <a:bodyPr/>
        <a:lstStyle/>
        <a:p>
          <a:endParaRPr lang="es-CR"/>
        </a:p>
      </dgm:t>
    </dgm:pt>
    <dgm:pt modelId="{AC3803AB-6400-4910-841E-1B323FF825BC}" type="pres">
      <dgm:prSet presAssocID="{834A910E-0DDA-434B-B591-0D3B9ADCAFA4}" presName="sibTrans" presStyleLbl="bgSibTrans2D1" presStyleIdx="1" presStyleCnt="8"/>
      <dgm:spPr>
        <a:prstGeom prst="rect">
          <a:avLst/>
        </a:prstGeom>
      </dgm:spPr>
      <dgm:t>
        <a:bodyPr/>
        <a:lstStyle/>
        <a:p>
          <a:endParaRPr lang="es-CR"/>
        </a:p>
      </dgm:t>
    </dgm:pt>
    <dgm:pt modelId="{2638C64D-EC82-4E4C-A9A1-B9BE16BEE21D}" type="pres">
      <dgm:prSet presAssocID="{1A3256EA-CA03-4BDD-8645-732DE1BDBC14}" presName="compNode" presStyleCnt="0"/>
      <dgm:spPr/>
    </dgm:pt>
    <dgm:pt modelId="{473DA595-0F4B-474D-83DB-3D1B5FD1EDEE}" type="pres">
      <dgm:prSet presAssocID="{1A3256EA-CA03-4BDD-8645-732DE1BDBC14}" presName="dummyConnPt" presStyleCnt="0"/>
      <dgm:spPr/>
    </dgm:pt>
    <dgm:pt modelId="{843D753F-CFC4-4CC9-AEA0-673DCDAD8E81}" type="pres">
      <dgm:prSet presAssocID="{1A3256EA-CA03-4BDD-8645-732DE1BDBC14}" presName="node" presStyleLbl="node1" presStyleIdx="2" presStyleCnt="9">
        <dgm:presLayoutVars>
          <dgm:bulletEnabled val="1"/>
        </dgm:presLayoutVars>
      </dgm:prSet>
      <dgm:spPr>
        <a:prstGeom prst="roundRect">
          <a:avLst>
            <a:gd name="adj" fmla="val 10000"/>
          </a:avLst>
        </a:prstGeom>
      </dgm:spPr>
      <dgm:t>
        <a:bodyPr/>
        <a:lstStyle/>
        <a:p>
          <a:endParaRPr lang="es-CR"/>
        </a:p>
      </dgm:t>
    </dgm:pt>
    <dgm:pt modelId="{89D7F727-D8C3-4843-8E2B-5EF06B4A4C68}" type="pres">
      <dgm:prSet presAssocID="{5528DC93-FAB0-4B6E-9E90-76A76E4D7CBD}" presName="sibTrans" presStyleLbl="bgSibTrans2D1" presStyleIdx="2" presStyleCnt="8"/>
      <dgm:spPr>
        <a:prstGeom prst="rect">
          <a:avLst/>
        </a:prstGeom>
      </dgm:spPr>
      <dgm:t>
        <a:bodyPr/>
        <a:lstStyle/>
        <a:p>
          <a:endParaRPr lang="es-CR"/>
        </a:p>
      </dgm:t>
    </dgm:pt>
    <dgm:pt modelId="{8225AE09-05D3-4F6F-8A27-50E332D142EC}" type="pres">
      <dgm:prSet presAssocID="{FC868865-64B2-4871-A928-FE7C43BA08FE}" presName="compNode" presStyleCnt="0"/>
      <dgm:spPr/>
    </dgm:pt>
    <dgm:pt modelId="{7FBCCC7C-3595-4E9B-81F0-19A7D60070FD}" type="pres">
      <dgm:prSet presAssocID="{FC868865-64B2-4871-A928-FE7C43BA08FE}" presName="dummyConnPt" presStyleCnt="0"/>
      <dgm:spPr/>
    </dgm:pt>
    <dgm:pt modelId="{CF46E8C5-FAD3-48CE-A768-92E3AFD51562}" type="pres">
      <dgm:prSet presAssocID="{FC868865-64B2-4871-A928-FE7C43BA08FE}" presName="node" presStyleLbl="node1" presStyleIdx="3" presStyleCnt="9">
        <dgm:presLayoutVars>
          <dgm:bulletEnabled val="1"/>
        </dgm:presLayoutVars>
      </dgm:prSet>
      <dgm:spPr>
        <a:prstGeom prst="roundRect">
          <a:avLst>
            <a:gd name="adj" fmla="val 10000"/>
          </a:avLst>
        </a:prstGeom>
      </dgm:spPr>
      <dgm:t>
        <a:bodyPr/>
        <a:lstStyle/>
        <a:p>
          <a:endParaRPr lang="es-CR"/>
        </a:p>
      </dgm:t>
    </dgm:pt>
    <dgm:pt modelId="{D3543A44-E392-407E-AA6B-64C1527E3C77}" type="pres">
      <dgm:prSet presAssocID="{B0353ACA-EAF6-49CD-9904-B8790782C0BD}" presName="sibTrans" presStyleLbl="bgSibTrans2D1" presStyleIdx="3" presStyleCnt="8"/>
      <dgm:spPr>
        <a:prstGeom prst="rect">
          <a:avLst/>
        </a:prstGeom>
      </dgm:spPr>
      <dgm:t>
        <a:bodyPr/>
        <a:lstStyle/>
        <a:p>
          <a:endParaRPr lang="es-CR"/>
        </a:p>
      </dgm:t>
    </dgm:pt>
    <dgm:pt modelId="{3F36050C-91D7-4041-BEC4-FBF458B35495}" type="pres">
      <dgm:prSet presAssocID="{590918A7-BBA9-4D09-ADFC-AAB53F43F83E}" presName="compNode" presStyleCnt="0"/>
      <dgm:spPr/>
    </dgm:pt>
    <dgm:pt modelId="{A7C5B72C-5AE9-4292-B1F5-494F29BE9E5E}" type="pres">
      <dgm:prSet presAssocID="{590918A7-BBA9-4D09-ADFC-AAB53F43F83E}" presName="dummyConnPt" presStyleCnt="0"/>
      <dgm:spPr/>
    </dgm:pt>
    <dgm:pt modelId="{8DDD7B2F-9FEB-4DC3-AC27-AA70BFD7248B}" type="pres">
      <dgm:prSet presAssocID="{590918A7-BBA9-4D09-ADFC-AAB53F43F83E}" presName="node" presStyleLbl="node1" presStyleIdx="4" presStyleCnt="9">
        <dgm:presLayoutVars>
          <dgm:bulletEnabled val="1"/>
        </dgm:presLayoutVars>
      </dgm:prSet>
      <dgm:spPr>
        <a:prstGeom prst="roundRect">
          <a:avLst>
            <a:gd name="adj" fmla="val 10000"/>
          </a:avLst>
        </a:prstGeom>
      </dgm:spPr>
      <dgm:t>
        <a:bodyPr/>
        <a:lstStyle/>
        <a:p>
          <a:endParaRPr lang="es-CR"/>
        </a:p>
      </dgm:t>
    </dgm:pt>
    <dgm:pt modelId="{4835C627-7F29-4E42-A176-AE4B4767E5D5}" type="pres">
      <dgm:prSet presAssocID="{522BFB76-4B80-4152-B220-495CCEC54D56}" presName="sibTrans" presStyleLbl="bgSibTrans2D1" presStyleIdx="4" presStyleCnt="8"/>
      <dgm:spPr>
        <a:prstGeom prst="rect">
          <a:avLst/>
        </a:prstGeom>
      </dgm:spPr>
      <dgm:t>
        <a:bodyPr/>
        <a:lstStyle/>
        <a:p>
          <a:endParaRPr lang="es-CR"/>
        </a:p>
      </dgm:t>
    </dgm:pt>
    <dgm:pt modelId="{D8C13A5B-1837-4E2F-94A4-D3DEC2E30064}" type="pres">
      <dgm:prSet presAssocID="{006E6F57-ED53-4FEA-8893-D868D90E0492}" presName="compNode" presStyleCnt="0"/>
      <dgm:spPr/>
    </dgm:pt>
    <dgm:pt modelId="{ED59189E-00F3-4780-B4F4-0EC344C2489A}" type="pres">
      <dgm:prSet presAssocID="{006E6F57-ED53-4FEA-8893-D868D90E0492}" presName="dummyConnPt" presStyleCnt="0"/>
      <dgm:spPr/>
    </dgm:pt>
    <dgm:pt modelId="{B6DF79B9-74E3-4A2D-B23F-C938260846EC}" type="pres">
      <dgm:prSet presAssocID="{006E6F57-ED53-4FEA-8893-D868D90E0492}" presName="node" presStyleLbl="node1" presStyleIdx="5" presStyleCnt="9">
        <dgm:presLayoutVars>
          <dgm:bulletEnabled val="1"/>
        </dgm:presLayoutVars>
      </dgm:prSet>
      <dgm:spPr>
        <a:prstGeom prst="roundRect">
          <a:avLst>
            <a:gd name="adj" fmla="val 10000"/>
          </a:avLst>
        </a:prstGeom>
      </dgm:spPr>
      <dgm:t>
        <a:bodyPr/>
        <a:lstStyle/>
        <a:p>
          <a:endParaRPr lang="es-CR"/>
        </a:p>
      </dgm:t>
    </dgm:pt>
    <dgm:pt modelId="{6C82E6A2-C8CB-4916-8DE5-395E3F5D3EA3}" type="pres">
      <dgm:prSet presAssocID="{46880F9F-0140-48DD-B2DD-7195391812B6}" presName="sibTrans" presStyleLbl="bgSibTrans2D1" presStyleIdx="5" presStyleCnt="8"/>
      <dgm:spPr>
        <a:prstGeom prst="rect">
          <a:avLst/>
        </a:prstGeom>
      </dgm:spPr>
      <dgm:t>
        <a:bodyPr/>
        <a:lstStyle/>
        <a:p>
          <a:endParaRPr lang="es-CR"/>
        </a:p>
      </dgm:t>
    </dgm:pt>
    <dgm:pt modelId="{39F68559-DBAE-4896-B0B2-D9DE373705DB}" type="pres">
      <dgm:prSet presAssocID="{306A1506-A3D9-4CBC-A1AB-A99F56679894}" presName="compNode" presStyleCnt="0"/>
      <dgm:spPr/>
    </dgm:pt>
    <dgm:pt modelId="{4C5ACBBD-F7DE-4030-A6C0-90D86BB1E0A6}" type="pres">
      <dgm:prSet presAssocID="{306A1506-A3D9-4CBC-A1AB-A99F56679894}" presName="dummyConnPt" presStyleCnt="0"/>
      <dgm:spPr/>
    </dgm:pt>
    <dgm:pt modelId="{1375169D-73E7-45CE-8E5E-8363507D9961}" type="pres">
      <dgm:prSet presAssocID="{306A1506-A3D9-4CBC-A1AB-A99F56679894}" presName="node" presStyleLbl="node1" presStyleIdx="6" presStyleCnt="9">
        <dgm:presLayoutVars>
          <dgm:bulletEnabled val="1"/>
        </dgm:presLayoutVars>
      </dgm:prSet>
      <dgm:spPr>
        <a:prstGeom prst="roundRect">
          <a:avLst>
            <a:gd name="adj" fmla="val 10000"/>
          </a:avLst>
        </a:prstGeom>
      </dgm:spPr>
      <dgm:t>
        <a:bodyPr/>
        <a:lstStyle/>
        <a:p>
          <a:endParaRPr lang="es-CR"/>
        </a:p>
      </dgm:t>
    </dgm:pt>
    <dgm:pt modelId="{B8FDB833-6803-4D20-9DF2-064DE09E16BD}" type="pres">
      <dgm:prSet presAssocID="{F686CB15-6CB2-4C10-943F-8CADA03D25EC}" presName="sibTrans" presStyleLbl="bgSibTrans2D1" presStyleIdx="6" presStyleCnt="8"/>
      <dgm:spPr>
        <a:prstGeom prst="rect">
          <a:avLst/>
        </a:prstGeom>
      </dgm:spPr>
      <dgm:t>
        <a:bodyPr/>
        <a:lstStyle/>
        <a:p>
          <a:endParaRPr lang="es-CR"/>
        </a:p>
      </dgm:t>
    </dgm:pt>
    <dgm:pt modelId="{B7860E96-6618-464F-A455-BD96B88A93AA}" type="pres">
      <dgm:prSet presAssocID="{9E000EBA-6458-490C-BAB1-79594BE59DF3}" presName="compNode" presStyleCnt="0"/>
      <dgm:spPr/>
    </dgm:pt>
    <dgm:pt modelId="{71F26366-FC29-4603-B055-9E3DBB197E9A}" type="pres">
      <dgm:prSet presAssocID="{9E000EBA-6458-490C-BAB1-79594BE59DF3}" presName="dummyConnPt" presStyleCnt="0"/>
      <dgm:spPr/>
    </dgm:pt>
    <dgm:pt modelId="{A7DBD6C1-E1D9-4B6A-BEBE-518109D0DCAA}" type="pres">
      <dgm:prSet presAssocID="{9E000EBA-6458-490C-BAB1-79594BE59DF3}" presName="node" presStyleLbl="node1" presStyleIdx="7" presStyleCnt="9">
        <dgm:presLayoutVars>
          <dgm:bulletEnabled val="1"/>
        </dgm:presLayoutVars>
      </dgm:prSet>
      <dgm:spPr>
        <a:prstGeom prst="roundRect">
          <a:avLst>
            <a:gd name="adj" fmla="val 10000"/>
          </a:avLst>
        </a:prstGeom>
      </dgm:spPr>
      <dgm:t>
        <a:bodyPr/>
        <a:lstStyle/>
        <a:p>
          <a:endParaRPr lang="es-CR"/>
        </a:p>
      </dgm:t>
    </dgm:pt>
    <dgm:pt modelId="{0678E049-74E4-4FEB-A019-B7C0F4622795}" type="pres">
      <dgm:prSet presAssocID="{CF438717-EE1D-493E-8037-6382692384E0}" presName="sibTrans" presStyleLbl="bgSibTrans2D1" presStyleIdx="7" presStyleCnt="8"/>
      <dgm:spPr>
        <a:prstGeom prst="rect">
          <a:avLst/>
        </a:prstGeom>
      </dgm:spPr>
      <dgm:t>
        <a:bodyPr/>
        <a:lstStyle/>
        <a:p>
          <a:endParaRPr lang="es-CR"/>
        </a:p>
      </dgm:t>
    </dgm:pt>
    <dgm:pt modelId="{26D7215C-2E44-47D5-B804-BF0DBEC5347F}" type="pres">
      <dgm:prSet presAssocID="{2D3BE858-E0EF-4E8C-AAB1-727D72C029E9}" presName="compNode" presStyleCnt="0"/>
      <dgm:spPr/>
    </dgm:pt>
    <dgm:pt modelId="{F8B01E45-45D7-404B-9473-1997E396DF5A}" type="pres">
      <dgm:prSet presAssocID="{2D3BE858-E0EF-4E8C-AAB1-727D72C029E9}" presName="dummyConnPt" presStyleCnt="0"/>
      <dgm:spPr/>
    </dgm:pt>
    <dgm:pt modelId="{2F70F174-8473-4454-972E-48C81F259C2C}" type="pres">
      <dgm:prSet presAssocID="{2D3BE858-E0EF-4E8C-AAB1-727D72C029E9}" presName="node" presStyleLbl="node1" presStyleIdx="8" presStyleCnt="9">
        <dgm:presLayoutVars>
          <dgm:bulletEnabled val="1"/>
        </dgm:presLayoutVars>
      </dgm:prSet>
      <dgm:spPr>
        <a:prstGeom prst="roundRect">
          <a:avLst>
            <a:gd name="adj" fmla="val 10000"/>
          </a:avLst>
        </a:prstGeom>
      </dgm:spPr>
      <dgm:t>
        <a:bodyPr/>
        <a:lstStyle/>
        <a:p>
          <a:endParaRPr lang="es-CR"/>
        </a:p>
      </dgm:t>
    </dgm:pt>
  </dgm:ptLst>
  <dgm:cxnLst>
    <dgm:cxn modelId="{C22DE09C-E4C0-4FB5-9408-2F246EFE8BA1}" type="presOf" srcId="{834A910E-0DDA-434B-B591-0D3B9ADCAFA4}" destId="{AC3803AB-6400-4910-841E-1B323FF825BC}" srcOrd="0" destOrd="0" presId="urn:microsoft.com/office/officeart/2005/8/layout/bProcess4"/>
    <dgm:cxn modelId="{7C6C9EA5-958E-4455-86FF-8C42EC51A568}" type="presOf" srcId="{522BFB76-4B80-4152-B220-495CCEC54D56}" destId="{4835C627-7F29-4E42-A176-AE4B4767E5D5}" srcOrd="0" destOrd="0" presId="urn:microsoft.com/office/officeart/2005/8/layout/bProcess4"/>
    <dgm:cxn modelId="{AD75855F-26E3-42AC-BA2F-5962F5BDB4DE}" type="presOf" srcId="{5528DC93-FAB0-4B6E-9E90-76A76E4D7CBD}" destId="{89D7F727-D8C3-4843-8E2B-5EF06B4A4C68}" srcOrd="0" destOrd="0" presId="urn:microsoft.com/office/officeart/2005/8/layout/bProcess4"/>
    <dgm:cxn modelId="{F7AC2F46-DC34-442C-BAB3-720FAB8E5D11}" type="presOf" srcId="{9E000EBA-6458-490C-BAB1-79594BE59DF3}" destId="{A7DBD6C1-E1D9-4B6A-BEBE-518109D0DCAA}" srcOrd="0" destOrd="0" presId="urn:microsoft.com/office/officeart/2005/8/layout/bProcess4"/>
    <dgm:cxn modelId="{E71462E4-1F16-4115-96CD-91F15646AEE9}" type="presOf" srcId="{C77AD468-4994-4423-A3FE-79540C257549}" destId="{93CD7675-9104-4703-A22E-BAD8F3BB866E}" srcOrd="0" destOrd="0" presId="urn:microsoft.com/office/officeart/2005/8/layout/bProcess4"/>
    <dgm:cxn modelId="{3BC982FD-52A2-4BAF-A226-3692467D1691}" srcId="{43788F28-AB0F-4CB1-B516-AA3F56B30A97}" destId="{A2FC5E8D-869E-4CA5-8922-7A1DF980A45F}" srcOrd="1" destOrd="0" parTransId="{9502554B-F110-41EB-9CA9-88BD3C6A9D99}" sibTransId="{834A910E-0DDA-434B-B591-0D3B9ADCAFA4}"/>
    <dgm:cxn modelId="{509C4753-04C6-44B7-998C-7877189384A3}" type="presOf" srcId="{CF438717-EE1D-493E-8037-6382692384E0}" destId="{0678E049-74E4-4FEB-A019-B7C0F4622795}" srcOrd="0" destOrd="0" presId="urn:microsoft.com/office/officeart/2005/8/layout/bProcess4"/>
    <dgm:cxn modelId="{983CEBA1-FBBD-4AC2-8A4A-C7F952BACC48}" srcId="{43788F28-AB0F-4CB1-B516-AA3F56B30A97}" destId="{006E6F57-ED53-4FEA-8893-D868D90E0492}" srcOrd="5" destOrd="0" parTransId="{C0A02F23-4602-427B-967D-37FD25800D3D}" sibTransId="{46880F9F-0140-48DD-B2DD-7195391812B6}"/>
    <dgm:cxn modelId="{0BC1F356-A52B-4253-9EC9-7A94039EEC76}" type="presOf" srcId="{550A8922-9FAD-4902-95CB-10D197EB2C16}" destId="{59FF1085-33EB-4DBC-950F-CCA20D264D1A}" srcOrd="0" destOrd="0" presId="urn:microsoft.com/office/officeart/2005/8/layout/bProcess4"/>
    <dgm:cxn modelId="{A5D41BE1-6DF1-462F-AD63-346F464CEAAC}" type="presOf" srcId="{A2FC5E8D-869E-4CA5-8922-7A1DF980A45F}" destId="{422BEFD7-BDCF-449F-AE34-8A5AFAB93B2D}" srcOrd="0" destOrd="0" presId="urn:microsoft.com/office/officeart/2005/8/layout/bProcess4"/>
    <dgm:cxn modelId="{77A3B23C-6B9B-414A-9D9C-A1CAE4F29387}" type="presOf" srcId="{2D3BE858-E0EF-4E8C-AAB1-727D72C029E9}" destId="{2F70F174-8473-4454-972E-48C81F259C2C}" srcOrd="0" destOrd="0" presId="urn:microsoft.com/office/officeart/2005/8/layout/bProcess4"/>
    <dgm:cxn modelId="{67695196-27BC-46BD-B18C-F6814DDFEDEA}" type="presOf" srcId="{B0353ACA-EAF6-49CD-9904-B8790782C0BD}" destId="{D3543A44-E392-407E-AA6B-64C1527E3C77}" srcOrd="0" destOrd="0" presId="urn:microsoft.com/office/officeart/2005/8/layout/bProcess4"/>
    <dgm:cxn modelId="{AD6357EA-E16F-4339-B0B5-C9DD1A0AE85B}" type="presOf" srcId="{1A3256EA-CA03-4BDD-8645-732DE1BDBC14}" destId="{843D753F-CFC4-4CC9-AEA0-673DCDAD8E81}" srcOrd="0" destOrd="0" presId="urn:microsoft.com/office/officeart/2005/8/layout/bProcess4"/>
    <dgm:cxn modelId="{0CBE7DF2-1B1F-43CC-B1F6-9A3BB112798A}" srcId="{43788F28-AB0F-4CB1-B516-AA3F56B30A97}" destId="{9E000EBA-6458-490C-BAB1-79594BE59DF3}" srcOrd="7" destOrd="0" parTransId="{4EE4D8AA-3532-4196-A3B2-B93D14D806A2}" sibTransId="{CF438717-EE1D-493E-8037-6382692384E0}"/>
    <dgm:cxn modelId="{0F9A2A77-7FC8-4695-A44C-33C592E1B3F4}" type="presOf" srcId="{590918A7-BBA9-4D09-ADFC-AAB53F43F83E}" destId="{8DDD7B2F-9FEB-4DC3-AC27-AA70BFD7248B}" srcOrd="0" destOrd="0" presId="urn:microsoft.com/office/officeart/2005/8/layout/bProcess4"/>
    <dgm:cxn modelId="{BC044D7C-0127-47F6-9A78-99D477A3D62E}" srcId="{43788F28-AB0F-4CB1-B516-AA3F56B30A97}" destId="{590918A7-BBA9-4D09-ADFC-AAB53F43F83E}" srcOrd="4" destOrd="0" parTransId="{AAC574B1-DF5D-4BA4-B6D6-F13A65E21418}" sibTransId="{522BFB76-4B80-4152-B220-495CCEC54D56}"/>
    <dgm:cxn modelId="{CD8CFC31-D8D4-460E-BB83-A9038B7B1966}" type="presOf" srcId="{306A1506-A3D9-4CBC-A1AB-A99F56679894}" destId="{1375169D-73E7-45CE-8E5E-8363507D9961}" srcOrd="0" destOrd="0" presId="urn:microsoft.com/office/officeart/2005/8/layout/bProcess4"/>
    <dgm:cxn modelId="{16065B77-6CD5-4086-90DD-409D79C10683}" type="presOf" srcId="{FC868865-64B2-4871-A928-FE7C43BA08FE}" destId="{CF46E8C5-FAD3-48CE-A768-92E3AFD51562}" srcOrd="0" destOrd="0" presId="urn:microsoft.com/office/officeart/2005/8/layout/bProcess4"/>
    <dgm:cxn modelId="{8A73C846-8A16-4FF3-BF30-739DD2EB2B4E}" srcId="{43788F28-AB0F-4CB1-B516-AA3F56B30A97}" destId="{FC868865-64B2-4871-A928-FE7C43BA08FE}" srcOrd="3" destOrd="0" parTransId="{9BA3FA87-DF5C-4AA4-8492-CBE6DE40B2FF}" sibTransId="{B0353ACA-EAF6-49CD-9904-B8790782C0BD}"/>
    <dgm:cxn modelId="{B43DAF2F-D505-4106-958B-078CAB53DB09}" srcId="{43788F28-AB0F-4CB1-B516-AA3F56B30A97}" destId="{550A8922-9FAD-4902-95CB-10D197EB2C16}" srcOrd="0" destOrd="0" parTransId="{3F5DC4D0-6A3A-4870-B462-715E3F1C4B8F}" sibTransId="{C77AD468-4994-4423-A3FE-79540C257549}"/>
    <dgm:cxn modelId="{7CABD5E4-AB13-4C82-A214-FD846F508EAA}" srcId="{43788F28-AB0F-4CB1-B516-AA3F56B30A97}" destId="{1A3256EA-CA03-4BDD-8645-732DE1BDBC14}" srcOrd="2" destOrd="0" parTransId="{108EFC51-9F73-472B-8A09-0FD93BC3E6A8}" sibTransId="{5528DC93-FAB0-4B6E-9E90-76A76E4D7CBD}"/>
    <dgm:cxn modelId="{06FDC289-1BA0-4FEE-B39D-ABBE445F0AD7}" srcId="{43788F28-AB0F-4CB1-B516-AA3F56B30A97}" destId="{306A1506-A3D9-4CBC-A1AB-A99F56679894}" srcOrd="6" destOrd="0" parTransId="{9463A85F-DB50-4F28-A187-E87CF776E95E}" sibTransId="{F686CB15-6CB2-4C10-943F-8CADA03D25EC}"/>
    <dgm:cxn modelId="{60A677D7-6DBA-44BF-8CE9-EA59A8D9B0A5}" srcId="{43788F28-AB0F-4CB1-B516-AA3F56B30A97}" destId="{2D3BE858-E0EF-4E8C-AAB1-727D72C029E9}" srcOrd="8" destOrd="0" parTransId="{8EBDEE9B-8698-4684-B0E8-E2691713B203}" sibTransId="{C8F162AB-9646-40BE-BCF1-9A0FD181FA2B}"/>
    <dgm:cxn modelId="{28A022FA-D3EE-4D09-BDE0-31FA571EFE5D}" type="presOf" srcId="{46880F9F-0140-48DD-B2DD-7195391812B6}" destId="{6C82E6A2-C8CB-4916-8DE5-395E3F5D3EA3}" srcOrd="0" destOrd="0" presId="urn:microsoft.com/office/officeart/2005/8/layout/bProcess4"/>
    <dgm:cxn modelId="{F6619AE8-A58A-4877-A564-7D3009ABF680}" type="presOf" srcId="{006E6F57-ED53-4FEA-8893-D868D90E0492}" destId="{B6DF79B9-74E3-4A2D-B23F-C938260846EC}" srcOrd="0" destOrd="0" presId="urn:microsoft.com/office/officeart/2005/8/layout/bProcess4"/>
    <dgm:cxn modelId="{5E95B698-6485-4B08-8FE8-00730377EE06}" type="presOf" srcId="{F686CB15-6CB2-4C10-943F-8CADA03D25EC}" destId="{B8FDB833-6803-4D20-9DF2-064DE09E16BD}" srcOrd="0" destOrd="0" presId="urn:microsoft.com/office/officeart/2005/8/layout/bProcess4"/>
    <dgm:cxn modelId="{C94F4B2F-3B21-4191-B338-944EE802EB4A}" type="presOf" srcId="{43788F28-AB0F-4CB1-B516-AA3F56B30A97}" destId="{0C7B48AA-3391-4A41-8823-D48BC8E61D88}" srcOrd="0" destOrd="0" presId="urn:microsoft.com/office/officeart/2005/8/layout/bProcess4"/>
    <dgm:cxn modelId="{885652DE-1ED2-4B62-ABDB-DDCD156BC7CA}" type="presParOf" srcId="{0C7B48AA-3391-4A41-8823-D48BC8E61D88}" destId="{115AAEF6-DC22-44C1-8D72-E487C92353BB}" srcOrd="0" destOrd="0" presId="urn:microsoft.com/office/officeart/2005/8/layout/bProcess4"/>
    <dgm:cxn modelId="{55BA9DFB-3224-4C5A-AD03-47CF762C1482}" type="presParOf" srcId="{115AAEF6-DC22-44C1-8D72-E487C92353BB}" destId="{F5C9EA20-49B8-493F-9DDF-33460ED857FD}" srcOrd="0" destOrd="0" presId="urn:microsoft.com/office/officeart/2005/8/layout/bProcess4"/>
    <dgm:cxn modelId="{3FE4FD5D-5191-4D49-859C-39ABE1ADDFCA}" type="presParOf" srcId="{115AAEF6-DC22-44C1-8D72-E487C92353BB}" destId="{59FF1085-33EB-4DBC-950F-CCA20D264D1A}" srcOrd="1" destOrd="0" presId="urn:microsoft.com/office/officeart/2005/8/layout/bProcess4"/>
    <dgm:cxn modelId="{E1A1DA56-D364-4964-A285-84164A17B451}" type="presParOf" srcId="{0C7B48AA-3391-4A41-8823-D48BC8E61D88}" destId="{93CD7675-9104-4703-A22E-BAD8F3BB866E}" srcOrd="1" destOrd="0" presId="urn:microsoft.com/office/officeart/2005/8/layout/bProcess4"/>
    <dgm:cxn modelId="{884C6867-B7EE-4190-AAEB-F54916204299}" type="presParOf" srcId="{0C7B48AA-3391-4A41-8823-D48BC8E61D88}" destId="{B56A75D8-46BD-4B1B-A7D6-971079DB7040}" srcOrd="2" destOrd="0" presId="urn:microsoft.com/office/officeart/2005/8/layout/bProcess4"/>
    <dgm:cxn modelId="{B7661D7E-7D21-41A0-A2C3-8CCC1C6E83C4}" type="presParOf" srcId="{B56A75D8-46BD-4B1B-A7D6-971079DB7040}" destId="{6116CE6E-DD0A-4BC5-A3F4-462CCC7F3BA1}" srcOrd="0" destOrd="0" presId="urn:microsoft.com/office/officeart/2005/8/layout/bProcess4"/>
    <dgm:cxn modelId="{20972965-069C-4F70-A214-F43CDB2681AA}" type="presParOf" srcId="{B56A75D8-46BD-4B1B-A7D6-971079DB7040}" destId="{422BEFD7-BDCF-449F-AE34-8A5AFAB93B2D}" srcOrd="1" destOrd="0" presId="urn:microsoft.com/office/officeart/2005/8/layout/bProcess4"/>
    <dgm:cxn modelId="{682FABB2-F863-4669-94B9-83088DAB2D4B}" type="presParOf" srcId="{0C7B48AA-3391-4A41-8823-D48BC8E61D88}" destId="{AC3803AB-6400-4910-841E-1B323FF825BC}" srcOrd="3" destOrd="0" presId="urn:microsoft.com/office/officeart/2005/8/layout/bProcess4"/>
    <dgm:cxn modelId="{F1FE76BD-C58E-4A24-B74F-6F4640310024}" type="presParOf" srcId="{0C7B48AA-3391-4A41-8823-D48BC8E61D88}" destId="{2638C64D-EC82-4E4C-A9A1-B9BE16BEE21D}" srcOrd="4" destOrd="0" presId="urn:microsoft.com/office/officeart/2005/8/layout/bProcess4"/>
    <dgm:cxn modelId="{B536DC9A-2EE5-400E-B690-18E85F53E916}" type="presParOf" srcId="{2638C64D-EC82-4E4C-A9A1-B9BE16BEE21D}" destId="{473DA595-0F4B-474D-83DB-3D1B5FD1EDEE}" srcOrd="0" destOrd="0" presId="urn:microsoft.com/office/officeart/2005/8/layout/bProcess4"/>
    <dgm:cxn modelId="{8747015E-9699-4574-8EDD-4C288DB2C690}" type="presParOf" srcId="{2638C64D-EC82-4E4C-A9A1-B9BE16BEE21D}" destId="{843D753F-CFC4-4CC9-AEA0-673DCDAD8E81}" srcOrd="1" destOrd="0" presId="urn:microsoft.com/office/officeart/2005/8/layout/bProcess4"/>
    <dgm:cxn modelId="{65D0A46A-0908-4ACA-8069-AD34B109AB9A}" type="presParOf" srcId="{0C7B48AA-3391-4A41-8823-D48BC8E61D88}" destId="{89D7F727-D8C3-4843-8E2B-5EF06B4A4C68}" srcOrd="5" destOrd="0" presId="urn:microsoft.com/office/officeart/2005/8/layout/bProcess4"/>
    <dgm:cxn modelId="{10345038-5686-4A03-9839-DB45AF5991BF}" type="presParOf" srcId="{0C7B48AA-3391-4A41-8823-D48BC8E61D88}" destId="{8225AE09-05D3-4F6F-8A27-50E332D142EC}" srcOrd="6" destOrd="0" presId="urn:microsoft.com/office/officeart/2005/8/layout/bProcess4"/>
    <dgm:cxn modelId="{8E297750-5F58-4430-A270-6EDBC312641D}" type="presParOf" srcId="{8225AE09-05D3-4F6F-8A27-50E332D142EC}" destId="{7FBCCC7C-3595-4E9B-81F0-19A7D60070FD}" srcOrd="0" destOrd="0" presId="urn:microsoft.com/office/officeart/2005/8/layout/bProcess4"/>
    <dgm:cxn modelId="{C80D7ED5-3829-4393-BA1C-7D87391451FA}" type="presParOf" srcId="{8225AE09-05D3-4F6F-8A27-50E332D142EC}" destId="{CF46E8C5-FAD3-48CE-A768-92E3AFD51562}" srcOrd="1" destOrd="0" presId="urn:microsoft.com/office/officeart/2005/8/layout/bProcess4"/>
    <dgm:cxn modelId="{C306AA3E-D459-4F5A-A1B8-C98F541D5C1D}" type="presParOf" srcId="{0C7B48AA-3391-4A41-8823-D48BC8E61D88}" destId="{D3543A44-E392-407E-AA6B-64C1527E3C77}" srcOrd="7" destOrd="0" presId="urn:microsoft.com/office/officeart/2005/8/layout/bProcess4"/>
    <dgm:cxn modelId="{D4DBC593-E1FE-4F65-B8D3-B5875F4B4ED6}" type="presParOf" srcId="{0C7B48AA-3391-4A41-8823-D48BC8E61D88}" destId="{3F36050C-91D7-4041-BEC4-FBF458B35495}" srcOrd="8" destOrd="0" presId="urn:microsoft.com/office/officeart/2005/8/layout/bProcess4"/>
    <dgm:cxn modelId="{FEF98FD3-E1D7-4CE1-ABD1-105C6AC1A59D}" type="presParOf" srcId="{3F36050C-91D7-4041-BEC4-FBF458B35495}" destId="{A7C5B72C-5AE9-4292-B1F5-494F29BE9E5E}" srcOrd="0" destOrd="0" presId="urn:microsoft.com/office/officeart/2005/8/layout/bProcess4"/>
    <dgm:cxn modelId="{1F53F7FA-A631-4CAA-8A53-FBAB40636D29}" type="presParOf" srcId="{3F36050C-91D7-4041-BEC4-FBF458B35495}" destId="{8DDD7B2F-9FEB-4DC3-AC27-AA70BFD7248B}" srcOrd="1" destOrd="0" presId="urn:microsoft.com/office/officeart/2005/8/layout/bProcess4"/>
    <dgm:cxn modelId="{3030963E-0181-4CFE-81B2-1E7A66F86D8D}" type="presParOf" srcId="{0C7B48AA-3391-4A41-8823-D48BC8E61D88}" destId="{4835C627-7F29-4E42-A176-AE4B4767E5D5}" srcOrd="9" destOrd="0" presId="urn:microsoft.com/office/officeart/2005/8/layout/bProcess4"/>
    <dgm:cxn modelId="{E5798961-8DF2-43CB-B275-DACE57E04E19}" type="presParOf" srcId="{0C7B48AA-3391-4A41-8823-D48BC8E61D88}" destId="{D8C13A5B-1837-4E2F-94A4-D3DEC2E30064}" srcOrd="10" destOrd="0" presId="urn:microsoft.com/office/officeart/2005/8/layout/bProcess4"/>
    <dgm:cxn modelId="{19E6585F-3030-4871-97AD-738C248BEB25}" type="presParOf" srcId="{D8C13A5B-1837-4E2F-94A4-D3DEC2E30064}" destId="{ED59189E-00F3-4780-B4F4-0EC344C2489A}" srcOrd="0" destOrd="0" presId="urn:microsoft.com/office/officeart/2005/8/layout/bProcess4"/>
    <dgm:cxn modelId="{62D1E1B9-A8A3-4C17-8D4A-55D74C9DEB81}" type="presParOf" srcId="{D8C13A5B-1837-4E2F-94A4-D3DEC2E30064}" destId="{B6DF79B9-74E3-4A2D-B23F-C938260846EC}" srcOrd="1" destOrd="0" presId="urn:microsoft.com/office/officeart/2005/8/layout/bProcess4"/>
    <dgm:cxn modelId="{86EEBC4B-1A60-4C2F-AEAE-3C8563303295}" type="presParOf" srcId="{0C7B48AA-3391-4A41-8823-D48BC8E61D88}" destId="{6C82E6A2-C8CB-4916-8DE5-395E3F5D3EA3}" srcOrd="11" destOrd="0" presId="urn:microsoft.com/office/officeart/2005/8/layout/bProcess4"/>
    <dgm:cxn modelId="{D4558E7F-1C82-4458-8FC9-02BD822F3100}" type="presParOf" srcId="{0C7B48AA-3391-4A41-8823-D48BC8E61D88}" destId="{39F68559-DBAE-4896-B0B2-D9DE373705DB}" srcOrd="12" destOrd="0" presId="urn:microsoft.com/office/officeart/2005/8/layout/bProcess4"/>
    <dgm:cxn modelId="{83D878FD-D46B-44F8-BC65-6B82165E9FFF}" type="presParOf" srcId="{39F68559-DBAE-4896-B0B2-D9DE373705DB}" destId="{4C5ACBBD-F7DE-4030-A6C0-90D86BB1E0A6}" srcOrd="0" destOrd="0" presId="urn:microsoft.com/office/officeart/2005/8/layout/bProcess4"/>
    <dgm:cxn modelId="{DC3C35A0-EDC5-406D-90CC-2A05C30026B2}" type="presParOf" srcId="{39F68559-DBAE-4896-B0B2-D9DE373705DB}" destId="{1375169D-73E7-45CE-8E5E-8363507D9961}" srcOrd="1" destOrd="0" presId="urn:microsoft.com/office/officeart/2005/8/layout/bProcess4"/>
    <dgm:cxn modelId="{EC546187-0885-4457-B663-689E2CA9DA07}" type="presParOf" srcId="{0C7B48AA-3391-4A41-8823-D48BC8E61D88}" destId="{B8FDB833-6803-4D20-9DF2-064DE09E16BD}" srcOrd="13" destOrd="0" presId="urn:microsoft.com/office/officeart/2005/8/layout/bProcess4"/>
    <dgm:cxn modelId="{D86BD64A-98CB-4CF8-959B-E8297FA4EA61}" type="presParOf" srcId="{0C7B48AA-3391-4A41-8823-D48BC8E61D88}" destId="{B7860E96-6618-464F-A455-BD96B88A93AA}" srcOrd="14" destOrd="0" presId="urn:microsoft.com/office/officeart/2005/8/layout/bProcess4"/>
    <dgm:cxn modelId="{CA467DD2-C353-483E-AAE6-410DAEA8FF36}" type="presParOf" srcId="{B7860E96-6618-464F-A455-BD96B88A93AA}" destId="{71F26366-FC29-4603-B055-9E3DBB197E9A}" srcOrd="0" destOrd="0" presId="urn:microsoft.com/office/officeart/2005/8/layout/bProcess4"/>
    <dgm:cxn modelId="{0237CC5D-76FD-446C-A622-36B75CDD626E}" type="presParOf" srcId="{B7860E96-6618-464F-A455-BD96B88A93AA}" destId="{A7DBD6C1-E1D9-4B6A-BEBE-518109D0DCAA}" srcOrd="1" destOrd="0" presId="urn:microsoft.com/office/officeart/2005/8/layout/bProcess4"/>
    <dgm:cxn modelId="{621C9EAC-B8BF-489B-B27C-1E307B8CEA4C}" type="presParOf" srcId="{0C7B48AA-3391-4A41-8823-D48BC8E61D88}" destId="{0678E049-74E4-4FEB-A019-B7C0F4622795}" srcOrd="15" destOrd="0" presId="urn:microsoft.com/office/officeart/2005/8/layout/bProcess4"/>
    <dgm:cxn modelId="{E70F6121-CCAE-4D3E-AF7C-89C212C82812}" type="presParOf" srcId="{0C7B48AA-3391-4A41-8823-D48BC8E61D88}" destId="{26D7215C-2E44-47D5-B804-BF0DBEC5347F}" srcOrd="16" destOrd="0" presId="urn:microsoft.com/office/officeart/2005/8/layout/bProcess4"/>
    <dgm:cxn modelId="{CC1DFF72-26E3-4879-BCEB-9FA3CF22505C}" type="presParOf" srcId="{26D7215C-2E44-47D5-B804-BF0DBEC5347F}" destId="{F8B01E45-45D7-404B-9473-1997E396DF5A}" srcOrd="0" destOrd="0" presId="urn:microsoft.com/office/officeart/2005/8/layout/bProcess4"/>
    <dgm:cxn modelId="{6B2F91A3-DB43-46B4-9403-03360E837EA1}" type="presParOf" srcId="{26D7215C-2E44-47D5-B804-BF0DBEC5347F}" destId="{2F70F174-8473-4454-972E-48C81F259C2C}" srcOrd="1" destOrd="0" presId="urn:microsoft.com/office/officeart/2005/8/layout/b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D7675-9104-4703-A22E-BAD8F3BB866E}">
      <dsp:nvSpPr>
        <dsp:cNvPr id="0" name=""/>
        <dsp:cNvSpPr/>
      </dsp:nvSpPr>
      <dsp:spPr>
        <a:xfrm rot="5400000">
          <a:off x="-177649" y="673968"/>
          <a:ext cx="1046622" cy="126748"/>
        </a:xfrm>
        <a:prstGeom prst="rect">
          <a:avLst/>
        </a:prstGeom>
        <a:solidFill>
          <a:srgbClr val="E7E6E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59FF1085-33EB-4DBC-950F-CCA20D264D1A}">
      <dsp:nvSpPr>
        <dsp:cNvPr id="0" name=""/>
        <dsp:cNvSpPr/>
      </dsp:nvSpPr>
      <dsp:spPr>
        <a:xfrm>
          <a:off x="59190" y="210"/>
          <a:ext cx="1408316" cy="844989"/>
        </a:xfrm>
        <a:prstGeom prst="roundRect">
          <a:avLst>
            <a:gd name="adj" fmla="val 10000"/>
          </a:avLst>
        </a:prstGeom>
        <a:solidFill>
          <a:srgbClr val="5B9BD5">
            <a:lumMod val="75000"/>
          </a:srgbClr>
        </a:solidFill>
        <a:ln w="12700" cap="flat" cmpd="sng" algn="ctr">
          <a:solidFill>
            <a:srgbClr val="5B9BD5">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El modelo parte de prácticas agrícolas en palma aceitera que un productor está realizando</a:t>
          </a:r>
        </a:p>
      </dsp:txBody>
      <dsp:txXfrm>
        <a:off x="83939" y="24959"/>
        <a:ext cx="1358818" cy="795491"/>
      </dsp:txXfrm>
    </dsp:sp>
    <dsp:sp modelId="{AC3803AB-6400-4910-841E-1B323FF825BC}">
      <dsp:nvSpPr>
        <dsp:cNvPr id="0" name=""/>
        <dsp:cNvSpPr/>
      </dsp:nvSpPr>
      <dsp:spPr>
        <a:xfrm rot="5400000">
          <a:off x="-177649" y="1730205"/>
          <a:ext cx="1046622" cy="126748"/>
        </a:xfrm>
        <a:prstGeom prst="rect">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22BEFD7-BDCF-449F-AE34-8A5AFAB93B2D}">
      <dsp:nvSpPr>
        <dsp:cNvPr id="0" name=""/>
        <dsp:cNvSpPr/>
      </dsp:nvSpPr>
      <dsp:spPr>
        <a:xfrm>
          <a:off x="59190" y="1056447"/>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fijó el costo agrícola para 22 años, analizando el consumo por HA, costo unitario y costo total por HA para cada año</a:t>
          </a:r>
        </a:p>
      </dsp:txBody>
      <dsp:txXfrm>
        <a:off x="83939" y="1081196"/>
        <a:ext cx="1358818" cy="795491"/>
      </dsp:txXfrm>
    </dsp:sp>
    <dsp:sp modelId="{89D7F727-D8C3-4843-8E2B-5EF06B4A4C68}">
      <dsp:nvSpPr>
        <dsp:cNvPr id="0" name=""/>
        <dsp:cNvSpPr/>
      </dsp:nvSpPr>
      <dsp:spPr>
        <a:xfrm>
          <a:off x="350468" y="2258324"/>
          <a:ext cx="1863445" cy="126748"/>
        </a:xfrm>
        <a:prstGeom prst="rect">
          <a:avLst/>
        </a:prstGeom>
        <a:solidFill>
          <a:srgbClr val="E7E6E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843D753F-CFC4-4CC9-AEA0-673DCDAD8E81}">
      <dsp:nvSpPr>
        <dsp:cNvPr id="0" name=""/>
        <dsp:cNvSpPr/>
      </dsp:nvSpPr>
      <dsp:spPr>
        <a:xfrm>
          <a:off x="59190" y="2112684"/>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calculó el costo de inversión para el primer año y adicionalmente el costo del capital</a:t>
          </a:r>
        </a:p>
      </dsp:txBody>
      <dsp:txXfrm>
        <a:off x="83939" y="2137433"/>
        <a:ext cx="1358818" cy="795491"/>
      </dsp:txXfrm>
    </dsp:sp>
    <dsp:sp modelId="{D3543A44-E392-407E-AA6B-64C1527E3C77}">
      <dsp:nvSpPr>
        <dsp:cNvPr id="0" name=""/>
        <dsp:cNvSpPr/>
      </dsp:nvSpPr>
      <dsp:spPr>
        <a:xfrm rot="16200000">
          <a:off x="1695411" y="1730205"/>
          <a:ext cx="1046622" cy="126748"/>
        </a:xfrm>
        <a:prstGeom prst="rect">
          <a:avLst/>
        </a:prstGeom>
        <a:solidFill>
          <a:srgbClr val="E7E6E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CF46E8C5-FAD3-48CE-A768-92E3AFD51562}">
      <dsp:nvSpPr>
        <dsp:cNvPr id="0" name=""/>
        <dsp:cNvSpPr/>
      </dsp:nvSpPr>
      <dsp:spPr>
        <a:xfrm>
          <a:off x="1932251" y="2112684"/>
          <a:ext cx="1408316" cy="8449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estimó los costos agrícolas por HA para cada año y se calculó un promedio, obteniendo una productividad TM/HA</a:t>
          </a:r>
        </a:p>
      </dsp:txBody>
      <dsp:txXfrm>
        <a:off x="1957000" y="2137433"/>
        <a:ext cx="1358818" cy="795491"/>
      </dsp:txXfrm>
    </dsp:sp>
    <dsp:sp modelId="{4835C627-7F29-4E42-A176-AE4B4767E5D5}">
      <dsp:nvSpPr>
        <dsp:cNvPr id="0" name=""/>
        <dsp:cNvSpPr/>
      </dsp:nvSpPr>
      <dsp:spPr>
        <a:xfrm rot="16200000">
          <a:off x="1695411" y="673968"/>
          <a:ext cx="1046622" cy="126748"/>
        </a:xfrm>
        <a:prstGeom prst="rect">
          <a:avLst/>
        </a:prstGeom>
        <a:solidFill>
          <a:srgbClr val="E7E6E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8DDD7B2F-9FEB-4DC3-AC27-AA70BFD7248B}">
      <dsp:nvSpPr>
        <dsp:cNvPr id="0" name=""/>
        <dsp:cNvSpPr/>
      </dsp:nvSpPr>
      <dsp:spPr>
        <a:xfrm>
          <a:off x="1932251" y="1056447"/>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definieron y estimaron otros costos variables bajo el criterio de experto</a:t>
          </a:r>
        </a:p>
      </dsp:txBody>
      <dsp:txXfrm>
        <a:off x="1957000" y="1081196"/>
        <a:ext cx="1358818" cy="795491"/>
      </dsp:txXfrm>
    </dsp:sp>
    <dsp:sp modelId="{6C82E6A2-C8CB-4916-8DE5-395E3F5D3EA3}">
      <dsp:nvSpPr>
        <dsp:cNvPr id="0" name=""/>
        <dsp:cNvSpPr/>
      </dsp:nvSpPr>
      <dsp:spPr>
        <a:xfrm>
          <a:off x="2223529" y="145849"/>
          <a:ext cx="1863445" cy="126748"/>
        </a:xfrm>
        <a:prstGeom prst="rect">
          <a:avLst/>
        </a:prstGeom>
        <a:solidFill>
          <a:srgbClr val="E7E6E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B6DF79B9-74E3-4A2D-B23F-C938260846EC}">
      <dsp:nvSpPr>
        <dsp:cNvPr id="0" name=""/>
        <dsp:cNvSpPr/>
      </dsp:nvSpPr>
      <dsp:spPr>
        <a:xfrm>
          <a:off x="1932251" y="210"/>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definieron y estimaron los costos fijos para todos los años de producción bajo el criterio de experto</a:t>
          </a:r>
        </a:p>
      </dsp:txBody>
      <dsp:txXfrm>
        <a:off x="1957000" y="24959"/>
        <a:ext cx="1358818" cy="795491"/>
      </dsp:txXfrm>
    </dsp:sp>
    <dsp:sp modelId="{B8FDB833-6803-4D20-9DF2-064DE09E16BD}">
      <dsp:nvSpPr>
        <dsp:cNvPr id="0" name=""/>
        <dsp:cNvSpPr/>
      </dsp:nvSpPr>
      <dsp:spPr>
        <a:xfrm rot="5400000">
          <a:off x="3568471" y="673968"/>
          <a:ext cx="1046622" cy="126748"/>
        </a:xfrm>
        <a:prstGeom prst="rect">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375169D-73E7-45CE-8E5E-8363507D9961}">
      <dsp:nvSpPr>
        <dsp:cNvPr id="0" name=""/>
        <dsp:cNvSpPr/>
      </dsp:nvSpPr>
      <dsp:spPr>
        <a:xfrm>
          <a:off x="3805312" y="210"/>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cotizaron bienes y servicios en las regiones productoras</a:t>
          </a:r>
        </a:p>
      </dsp:txBody>
      <dsp:txXfrm>
        <a:off x="3830061" y="24959"/>
        <a:ext cx="1358818" cy="795491"/>
      </dsp:txXfrm>
    </dsp:sp>
    <dsp:sp modelId="{0678E049-74E4-4FEB-A019-B7C0F4622795}">
      <dsp:nvSpPr>
        <dsp:cNvPr id="0" name=""/>
        <dsp:cNvSpPr/>
      </dsp:nvSpPr>
      <dsp:spPr>
        <a:xfrm rot="5400000">
          <a:off x="3568471" y="1730205"/>
          <a:ext cx="1046622" cy="126748"/>
        </a:xfrm>
        <a:prstGeom prst="rect">
          <a:avLst/>
        </a:prstGeom>
        <a:solidFill>
          <a:srgbClr val="E7E6E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A7DBD6C1-E1D9-4B6A-BEBE-518109D0DCAA}">
      <dsp:nvSpPr>
        <dsp:cNvPr id="0" name=""/>
        <dsp:cNvSpPr/>
      </dsp:nvSpPr>
      <dsp:spPr>
        <a:xfrm>
          <a:off x="3805312" y="1056447"/>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estimaron los diferentes ciclos por año y el programa de fertilización según la realidad del productor</a:t>
          </a:r>
        </a:p>
      </dsp:txBody>
      <dsp:txXfrm>
        <a:off x="3830061" y="1081196"/>
        <a:ext cx="1358818" cy="795491"/>
      </dsp:txXfrm>
    </dsp:sp>
    <dsp:sp modelId="{2F70F174-8473-4454-972E-48C81F259C2C}">
      <dsp:nvSpPr>
        <dsp:cNvPr id="0" name=""/>
        <dsp:cNvSpPr/>
      </dsp:nvSpPr>
      <dsp:spPr>
        <a:xfrm>
          <a:off x="3805312" y="2112684"/>
          <a:ext cx="1408316" cy="844989"/>
        </a:xfrm>
        <a:prstGeom prst="roundRect">
          <a:avLst>
            <a:gd name="adj" fmla="val 10000"/>
          </a:avLst>
        </a:prstGeom>
        <a:solidFill>
          <a:srgbClr val="4472C4"/>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a:solidFill>
                <a:sysClr val="window" lastClr="FFFFFF"/>
              </a:solidFill>
              <a:latin typeface="Calibri"/>
              <a:ea typeface="+mn-ea"/>
              <a:cs typeface="+mn-cs"/>
            </a:rPr>
            <a:t>Se obtuvo un precio por tonelada métrica de fruta de palma aceitera</a:t>
          </a:r>
        </a:p>
      </dsp:txBody>
      <dsp:txXfrm>
        <a:off x="3830061" y="2137433"/>
        <a:ext cx="1358818" cy="79549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b:Source>
    <b:Tag>Oil</b:Tag>
    <b:SourceType>InternetSite</b:SourceType>
    <b:Guid>{C53E86B4-00A9-4E9C-81A7-A2F6228724C6}</b:Guid>
    <b:Author>
      <b:Author>
        <b:NameList>
          <b:Person>
            <b:Last>World</b:Last>
            <b:First>Oil</b:First>
          </b:Person>
        </b:NameList>
      </b:Author>
    </b:Author>
    <b:Title>Oil World</b:Title>
    <b:InternetSiteTitle>Oil World</b:InternetSiteTitle>
    <b:URL>https://www.oilworld.biz/app.php</b:URL>
    <b:Year>2016</b:Year>
    <b:RefOrder>10</b:RefOrder>
  </b:Source>
  <b:Source>
    <b:Tag>Can</b:Tag>
    <b:SourceType>InternetSite</b:SourceType>
    <b:Guid>{15EB9938-00B5-4321-9C03-F268B0C502D3}</b:Guid>
    <b:Author>
      <b:Author>
        <b:NameList>
          <b:Person>
            <b:Last>Canapalma</b:Last>
          </b:Person>
        </b:NameList>
      </b:Author>
    </b:Author>
    <b:URL>http://www.canapalma.cr/index.php/informacion-economica/2-uncategorised/7-modelo-vigente-de-pago</b:URL>
    <b:Year>2016</b:Year>
    <b:Month>Octubre</b:Month>
    <b:RefOrder>2</b:RefOrder>
  </b:Source>
  <b:Source>
    <b:Tag>Can16</b:Tag>
    <b:SourceType>Report</b:SourceType>
    <b:Guid>{861CA59C-0082-4CF0-BC82-E67C58CAE5BD}</b:Guid>
    <b:Author>
      <b:Author>
        <b:NameList>
          <b:Person>
            <b:Last>Canapalma</b:Last>
          </b:Person>
        </b:NameList>
      </b:Author>
    </b:Author>
    <b:Title>Libro Información sobre palma aceitera CANAPALMA</b:Title>
    <b:Year>2016</b:Year>
    <b:RefOrder>11</b:RefOrder>
  </b:Source>
  <b:Source>
    <b:Tag>COP16</b:Tag>
    <b:SourceType>Report</b:SourceType>
    <b:Guid>{2459D024-0C8C-4966-957F-F703E1C40D1D}</b:Guid>
    <b:Title>PRODUCCION Y COMERCIALIZACIÓN DE PALMA AFRICANA</b:Title>
    <b:Year>2016</b:Year>
    <b:Author>
      <b:Author>
        <b:NameList>
          <b:Person>
            <b:Last>COPROCOM</b:Last>
          </b:Person>
        </b:NameList>
      </b:Author>
    </b:Author>
    <b:RefOrder>5</b:RefOrder>
  </b:Source>
  <b:Source>
    <b:Tag>Pal16</b:Tag>
    <b:SourceType>InternetSite</b:SourceType>
    <b:Guid>{04C5692E-79F2-4FEC-9516-C424765F8F5E}</b:Guid>
    <b:Title>http://www.grupo-jg.com/palmatec/</b:Title>
    <b:Year>2016</b:Year>
    <b:Author>
      <b:Author>
        <b:NameList>
          <b:Person>
            <b:Last>Palmatec</b:Last>
          </b:Person>
        </b:NameList>
      </b:Author>
    </b:Author>
    <b:URL>http://www.grupo-jg.com/palmatec/</b:URL>
    <b:RefOrder>7</b:RefOrder>
  </b:Source>
</b:Sources>
</file>

<file path=customXml/itemProps1.xml><?xml version="1.0" encoding="utf-8"?>
<ds:datastoreItem xmlns:ds="http://schemas.openxmlformats.org/officeDocument/2006/customXml" ds:itemID="{F54394C0-4352-472E-9225-9137B5C91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43</Pages>
  <Words>9802</Words>
  <Characters>53915</Characters>
  <Application>Microsoft Office Word</Application>
  <DocSecurity>0</DocSecurity>
  <Lines>449</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Propuestas Varias para Tesis</vt:lpstr>
      <vt:lpstr>Propuestas Varias para Tesis </vt:lpstr>
    </vt:vector>
  </TitlesOfParts>
  <Company>Home</Company>
  <LinksUpToDate>false</LinksUpToDate>
  <CharactersWithSpaces>63590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Propuestas Varias para Tesis</dc:title>
  <dc:creator>rvargas@meic.go.cr</dc:creator>
  <cp:lastModifiedBy>Luisiana Porras Alvarado</cp:lastModifiedBy>
  <cp:revision>8</cp:revision>
  <cp:lastPrinted>2007-09-21T18:56:00Z</cp:lastPrinted>
  <dcterms:created xsi:type="dcterms:W3CDTF">2021-02-05T21:58:00Z</dcterms:created>
  <dcterms:modified xsi:type="dcterms:W3CDTF">2021-02-08T14:43:00Z</dcterms:modified>
</cp:coreProperties>
</file>